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44" w:rsidRPr="0014633D" w:rsidRDefault="00282944" w:rsidP="001472F0">
      <w:pPr>
        <w:jc w:val="center"/>
        <w:rPr>
          <w:b/>
          <w:sz w:val="22"/>
          <w:szCs w:val="22"/>
        </w:rPr>
      </w:pPr>
      <w:r w:rsidRPr="0014633D">
        <w:rPr>
          <w:b/>
          <w:sz w:val="22"/>
          <w:szCs w:val="22"/>
        </w:rPr>
        <w:t>University of Texas at Arlington School of Social Work</w:t>
      </w:r>
    </w:p>
    <w:p w:rsidR="00282944" w:rsidRPr="0014633D" w:rsidRDefault="00282944" w:rsidP="001472F0">
      <w:pPr>
        <w:jc w:val="center"/>
        <w:rPr>
          <w:b/>
          <w:sz w:val="22"/>
          <w:szCs w:val="22"/>
        </w:rPr>
      </w:pPr>
      <w:r w:rsidRPr="0014633D">
        <w:rPr>
          <w:b/>
          <w:sz w:val="22"/>
          <w:szCs w:val="22"/>
        </w:rPr>
        <w:t>Course Syllabus</w:t>
      </w:r>
    </w:p>
    <w:p w:rsidR="001472F0" w:rsidRPr="0014633D" w:rsidRDefault="001472F0" w:rsidP="001472F0">
      <w:pPr>
        <w:jc w:val="center"/>
        <w:rPr>
          <w:b/>
          <w:sz w:val="22"/>
          <w:szCs w:val="22"/>
        </w:rPr>
      </w:pPr>
    </w:p>
    <w:p w:rsidR="00282944" w:rsidRPr="0014633D" w:rsidRDefault="001472F0" w:rsidP="001472F0">
      <w:pPr>
        <w:jc w:val="center"/>
        <w:rPr>
          <w:b/>
          <w:sz w:val="22"/>
          <w:szCs w:val="22"/>
        </w:rPr>
      </w:pPr>
      <w:r w:rsidRPr="0014633D">
        <w:rPr>
          <w:b/>
          <w:sz w:val="22"/>
          <w:szCs w:val="22"/>
        </w:rPr>
        <w:t>Brain and Behavior</w:t>
      </w:r>
    </w:p>
    <w:p w:rsidR="001472F0" w:rsidRPr="0014633D" w:rsidRDefault="00282944" w:rsidP="001472F0">
      <w:pPr>
        <w:jc w:val="center"/>
        <w:rPr>
          <w:b/>
          <w:sz w:val="22"/>
          <w:szCs w:val="22"/>
        </w:rPr>
      </w:pPr>
      <w:r w:rsidRPr="0014633D">
        <w:rPr>
          <w:b/>
          <w:sz w:val="22"/>
          <w:szCs w:val="22"/>
        </w:rPr>
        <w:t xml:space="preserve">SOCW </w:t>
      </w:r>
      <w:r w:rsidR="00BB111B" w:rsidRPr="0014633D">
        <w:rPr>
          <w:b/>
          <w:sz w:val="22"/>
          <w:szCs w:val="22"/>
        </w:rPr>
        <w:t>6389</w:t>
      </w:r>
      <w:r w:rsidR="001472F0" w:rsidRPr="0014633D">
        <w:rPr>
          <w:b/>
          <w:sz w:val="22"/>
          <w:szCs w:val="22"/>
        </w:rPr>
        <w:t>-001</w:t>
      </w:r>
    </w:p>
    <w:p w:rsidR="001472F0" w:rsidRPr="0014633D" w:rsidRDefault="006F4C3F" w:rsidP="001472F0">
      <w:pPr>
        <w:jc w:val="center"/>
        <w:rPr>
          <w:b/>
          <w:sz w:val="22"/>
          <w:szCs w:val="22"/>
        </w:rPr>
      </w:pPr>
      <w:r w:rsidRPr="0014633D">
        <w:rPr>
          <w:b/>
          <w:sz w:val="22"/>
          <w:szCs w:val="22"/>
        </w:rPr>
        <w:t>Spring 2014</w:t>
      </w:r>
    </w:p>
    <w:p w:rsidR="001472F0" w:rsidRPr="001472F0" w:rsidRDefault="001472F0" w:rsidP="001472F0">
      <w:pPr>
        <w:jc w:val="center"/>
        <w:rPr>
          <w:b/>
          <w:sz w:val="28"/>
          <w:szCs w:val="28"/>
        </w:rPr>
      </w:pPr>
    </w:p>
    <w:p w:rsidR="00963151" w:rsidRPr="00E7599F" w:rsidRDefault="00963151" w:rsidP="00963151"/>
    <w:p w:rsidR="00963151" w:rsidRPr="0014633D" w:rsidRDefault="00963151" w:rsidP="001472F0">
      <w:pPr>
        <w:tabs>
          <w:tab w:val="left" w:pos="5660"/>
        </w:tabs>
        <w:rPr>
          <w:sz w:val="22"/>
          <w:szCs w:val="22"/>
        </w:rPr>
      </w:pPr>
      <w:r w:rsidRPr="0014633D">
        <w:rPr>
          <w:b/>
          <w:sz w:val="22"/>
          <w:szCs w:val="22"/>
          <w:u w:val="single"/>
        </w:rPr>
        <w:t>Instructor</w:t>
      </w:r>
      <w:r w:rsidRPr="0014633D">
        <w:rPr>
          <w:b/>
          <w:sz w:val="22"/>
          <w:szCs w:val="22"/>
        </w:rPr>
        <w:t xml:space="preserve">: </w:t>
      </w:r>
      <w:r w:rsidR="006F4C3F" w:rsidRPr="0014633D">
        <w:rPr>
          <w:sz w:val="22"/>
          <w:szCs w:val="22"/>
        </w:rPr>
        <w:t>Bruce L. Bower</w:t>
      </w:r>
      <w:r w:rsidR="009E6C70" w:rsidRPr="0014633D">
        <w:rPr>
          <w:sz w:val="22"/>
          <w:szCs w:val="22"/>
        </w:rPr>
        <w:t xml:space="preserve">, M.S.W., L.C.S.W., </w:t>
      </w:r>
      <w:r w:rsidR="006F4C3F" w:rsidRPr="0014633D">
        <w:rPr>
          <w:sz w:val="22"/>
          <w:szCs w:val="22"/>
        </w:rPr>
        <w:t>Assistant</w:t>
      </w:r>
      <w:r w:rsidR="00BB111B" w:rsidRPr="0014633D">
        <w:rPr>
          <w:sz w:val="22"/>
          <w:szCs w:val="22"/>
        </w:rPr>
        <w:t xml:space="preserve"> Professor</w:t>
      </w:r>
      <w:r w:rsidR="006F4C3F" w:rsidRPr="0014633D">
        <w:rPr>
          <w:sz w:val="22"/>
          <w:szCs w:val="22"/>
        </w:rPr>
        <w:t xml:space="preserve"> in Practice</w:t>
      </w:r>
    </w:p>
    <w:p w:rsidR="00963151" w:rsidRPr="0014633D" w:rsidRDefault="00963151" w:rsidP="001472F0">
      <w:pPr>
        <w:rPr>
          <w:b/>
          <w:sz w:val="22"/>
          <w:szCs w:val="22"/>
        </w:rPr>
      </w:pPr>
    </w:p>
    <w:p w:rsidR="00963151" w:rsidRPr="0014633D" w:rsidRDefault="00963151" w:rsidP="001472F0">
      <w:pPr>
        <w:rPr>
          <w:sz w:val="22"/>
          <w:szCs w:val="22"/>
        </w:rPr>
      </w:pPr>
      <w:r w:rsidRPr="0014633D">
        <w:rPr>
          <w:b/>
          <w:sz w:val="22"/>
          <w:szCs w:val="22"/>
          <w:u w:val="single"/>
        </w:rPr>
        <w:t>Office Number</w:t>
      </w:r>
      <w:r w:rsidRPr="0014633D">
        <w:rPr>
          <w:b/>
          <w:sz w:val="22"/>
          <w:szCs w:val="22"/>
        </w:rPr>
        <w:t xml:space="preserve">: </w:t>
      </w:r>
      <w:r w:rsidR="00282944" w:rsidRPr="0014633D">
        <w:rPr>
          <w:sz w:val="22"/>
          <w:szCs w:val="22"/>
        </w:rPr>
        <w:t>Social Work Complex,</w:t>
      </w:r>
      <w:r w:rsidR="009E6C70" w:rsidRPr="0014633D">
        <w:rPr>
          <w:sz w:val="22"/>
          <w:szCs w:val="22"/>
        </w:rPr>
        <w:t xml:space="preserve"> </w:t>
      </w:r>
      <w:r w:rsidR="00282944" w:rsidRPr="0014633D">
        <w:rPr>
          <w:sz w:val="22"/>
          <w:szCs w:val="22"/>
        </w:rPr>
        <w:t>Bldg. A</w:t>
      </w:r>
      <w:r w:rsidR="00BB111B" w:rsidRPr="0014633D">
        <w:rPr>
          <w:sz w:val="22"/>
          <w:szCs w:val="22"/>
        </w:rPr>
        <w:t>, Rm. 20</w:t>
      </w:r>
      <w:r w:rsidR="006F4C3F" w:rsidRPr="0014633D">
        <w:rPr>
          <w:sz w:val="22"/>
          <w:szCs w:val="22"/>
        </w:rPr>
        <w:t>1</w:t>
      </w:r>
      <w:r w:rsidR="00BB111B" w:rsidRPr="0014633D">
        <w:rPr>
          <w:sz w:val="22"/>
          <w:szCs w:val="22"/>
        </w:rPr>
        <w:t>A</w:t>
      </w:r>
    </w:p>
    <w:p w:rsidR="00963151" w:rsidRPr="0014633D" w:rsidRDefault="00963151" w:rsidP="001472F0">
      <w:pPr>
        <w:rPr>
          <w:sz w:val="22"/>
          <w:szCs w:val="22"/>
        </w:rPr>
      </w:pPr>
    </w:p>
    <w:p w:rsidR="000A761F" w:rsidRPr="0014633D" w:rsidRDefault="00963151" w:rsidP="001472F0">
      <w:pPr>
        <w:rPr>
          <w:sz w:val="22"/>
          <w:szCs w:val="22"/>
        </w:rPr>
      </w:pPr>
      <w:r w:rsidRPr="0014633D">
        <w:rPr>
          <w:b/>
          <w:sz w:val="22"/>
          <w:szCs w:val="22"/>
          <w:u w:val="single"/>
        </w:rPr>
        <w:t>Email Address</w:t>
      </w:r>
      <w:r w:rsidRPr="0014633D">
        <w:rPr>
          <w:b/>
          <w:sz w:val="22"/>
          <w:szCs w:val="22"/>
        </w:rPr>
        <w:t>:</w:t>
      </w:r>
      <w:r w:rsidR="006F4C3F" w:rsidRPr="0014633D">
        <w:rPr>
          <w:sz w:val="22"/>
          <w:szCs w:val="22"/>
        </w:rPr>
        <w:t xml:space="preserve">  </w:t>
      </w:r>
      <w:hyperlink r:id="rId7" w:history="1">
        <w:r w:rsidR="006F4C3F" w:rsidRPr="0014633D">
          <w:rPr>
            <w:rStyle w:val="Hyperlink"/>
            <w:sz w:val="22"/>
            <w:szCs w:val="22"/>
          </w:rPr>
          <w:t>bower@uta.edu</w:t>
        </w:r>
      </w:hyperlink>
    </w:p>
    <w:p w:rsidR="006F4C3F" w:rsidRPr="0014633D" w:rsidRDefault="006F4C3F" w:rsidP="001472F0">
      <w:pPr>
        <w:rPr>
          <w:sz w:val="22"/>
          <w:szCs w:val="22"/>
        </w:rPr>
      </w:pPr>
    </w:p>
    <w:p w:rsidR="00963151" w:rsidRPr="0014633D" w:rsidRDefault="00963151" w:rsidP="001472F0">
      <w:pPr>
        <w:rPr>
          <w:sz w:val="22"/>
          <w:szCs w:val="22"/>
        </w:rPr>
      </w:pPr>
      <w:r w:rsidRPr="0014633D">
        <w:rPr>
          <w:b/>
          <w:sz w:val="22"/>
          <w:szCs w:val="22"/>
          <w:u w:val="single"/>
        </w:rPr>
        <w:t>Office Hours</w:t>
      </w:r>
      <w:r w:rsidRPr="0014633D">
        <w:rPr>
          <w:b/>
          <w:sz w:val="22"/>
          <w:szCs w:val="22"/>
        </w:rPr>
        <w:t xml:space="preserve">: </w:t>
      </w:r>
      <w:r w:rsidR="006F4C3F" w:rsidRPr="0014633D">
        <w:rPr>
          <w:sz w:val="22"/>
          <w:szCs w:val="22"/>
        </w:rPr>
        <w:t>Tuesdays from 1400h. to 1700h., and Wednesdays from 0900h. to 1200h.</w:t>
      </w:r>
    </w:p>
    <w:p w:rsidR="006F4C3F" w:rsidRPr="0014633D" w:rsidRDefault="006F4C3F" w:rsidP="001472F0">
      <w:pPr>
        <w:rPr>
          <w:sz w:val="22"/>
          <w:szCs w:val="22"/>
        </w:rPr>
      </w:pPr>
    </w:p>
    <w:p w:rsidR="006F4C3F" w:rsidRPr="0014633D" w:rsidRDefault="006F4C3F" w:rsidP="001472F0">
      <w:pPr>
        <w:rPr>
          <w:sz w:val="22"/>
          <w:szCs w:val="22"/>
        </w:rPr>
      </w:pPr>
      <w:r w:rsidRPr="0014633D">
        <w:rPr>
          <w:b/>
          <w:sz w:val="22"/>
          <w:szCs w:val="22"/>
          <w:u w:val="single"/>
        </w:rPr>
        <w:t>Course Number</w:t>
      </w:r>
      <w:r w:rsidRPr="0014633D">
        <w:rPr>
          <w:b/>
          <w:sz w:val="22"/>
          <w:szCs w:val="22"/>
        </w:rPr>
        <w:t>:</w:t>
      </w:r>
      <w:r w:rsidRPr="0014633D">
        <w:rPr>
          <w:sz w:val="22"/>
          <w:szCs w:val="22"/>
        </w:rPr>
        <w:t xml:space="preserve">  SOCW 6389, Section 001; </w:t>
      </w:r>
      <w:r w:rsidRPr="0014633D">
        <w:rPr>
          <w:b/>
          <w:sz w:val="22"/>
          <w:szCs w:val="22"/>
        </w:rPr>
        <w:t>Course ID:</w:t>
      </w:r>
      <w:r w:rsidRPr="0014633D">
        <w:rPr>
          <w:sz w:val="22"/>
          <w:szCs w:val="22"/>
        </w:rPr>
        <w:t xml:space="preserve">  26780;  </w:t>
      </w:r>
      <w:r w:rsidRPr="0014633D">
        <w:rPr>
          <w:b/>
          <w:sz w:val="22"/>
          <w:szCs w:val="22"/>
        </w:rPr>
        <w:t>Title:</w:t>
      </w:r>
      <w:r w:rsidRPr="0014633D">
        <w:rPr>
          <w:sz w:val="22"/>
          <w:szCs w:val="22"/>
        </w:rPr>
        <w:t xml:space="preserve">  Social Work Brain and Behavior.</w:t>
      </w:r>
    </w:p>
    <w:p w:rsidR="00963151" w:rsidRPr="0014633D" w:rsidRDefault="00963151" w:rsidP="001472F0">
      <w:pPr>
        <w:rPr>
          <w:sz w:val="22"/>
          <w:szCs w:val="22"/>
        </w:rPr>
      </w:pPr>
    </w:p>
    <w:p w:rsidR="00963151" w:rsidRPr="0014633D" w:rsidRDefault="00963151" w:rsidP="0014633D">
      <w:pPr>
        <w:pStyle w:val="NoSpacing"/>
        <w:rPr>
          <w:sz w:val="22"/>
          <w:szCs w:val="22"/>
        </w:rPr>
      </w:pPr>
      <w:r w:rsidRPr="0014633D">
        <w:rPr>
          <w:b/>
          <w:sz w:val="22"/>
          <w:szCs w:val="22"/>
          <w:u w:val="single"/>
        </w:rPr>
        <w:t>Time and Place</w:t>
      </w:r>
      <w:r w:rsidRPr="0014633D">
        <w:rPr>
          <w:b/>
          <w:sz w:val="22"/>
          <w:szCs w:val="22"/>
        </w:rPr>
        <w:t xml:space="preserve">: </w:t>
      </w:r>
      <w:r w:rsidR="006F4C3F" w:rsidRPr="0014633D">
        <w:rPr>
          <w:b/>
          <w:sz w:val="22"/>
          <w:szCs w:val="22"/>
        </w:rPr>
        <w:t xml:space="preserve"> </w:t>
      </w:r>
      <w:r w:rsidR="006F4C3F" w:rsidRPr="0014633D">
        <w:rPr>
          <w:sz w:val="22"/>
          <w:szCs w:val="22"/>
        </w:rPr>
        <w:t>Wednesdays from 1900h. to 2150h., January 15</w:t>
      </w:r>
      <w:r w:rsidR="006F4C3F" w:rsidRPr="0014633D">
        <w:rPr>
          <w:sz w:val="22"/>
          <w:szCs w:val="22"/>
          <w:vertAlign w:val="superscript"/>
        </w:rPr>
        <w:t>th</w:t>
      </w:r>
      <w:r w:rsidR="006F4C3F" w:rsidRPr="0014633D">
        <w:rPr>
          <w:sz w:val="22"/>
          <w:szCs w:val="22"/>
        </w:rPr>
        <w:t xml:space="preserve"> to April 30</w:t>
      </w:r>
      <w:r w:rsidR="006F4C3F" w:rsidRPr="0014633D">
        <w:rPr>
          <w:sz w:val="22"/>
          <w:szCs w:val="22"/>
          <w:vertAlign w:val="superscript"/>
        </w:rPr>
        <w:t>th</w:t>
      </w:r>
      <w:r w:rsidR="006F4C3F" w:rsidRPr="0014633D">
        <w:rPr>
          <w:sz w:val="22"/>
          <w:szCs w:val="22"/>
        </w:rPr>
        <w:t>; Social work Complex, Building A, Room 115.</w:t>
      </w:r>
    </w:p>
    <w:p w:rsidR="0014633D" w:rsidRPr="0014633D" w:rsidRDefault="0014633D" w:rsidP="0014633D">
      <w:pPr>
        <w:pStyle w:val="NoSpacing"/>
        <w:rPr>
          <w:sz w:val="22"/>
          <w:szCs w:val="22"/>
        </w:rPr>
      </w:pPr>
    </w:p>
    <w:p w:rsidR="00E65354" w:rsidRPr="0014633D" w:rsidRDefault="001047F5" w:rsidP="0014633D">
      <w:pPr>
        <w:pStyle w:val="NoSpacing"/>
        <w:rPr>
          <w:sz w:val="22"/>
          <w:szCs w:val="22"/>
        </w:rPr>
      </w:pPr>
      <w:r w:rsidRPr="0014633D">
        <w:rPr>
          <w:b/>
          <w:sz w:val="22"/>
          <w:szCs w:val="22"/>
          <w:u w:val="single"/>
        </w:rPr>
        <w:t>CSWE EPAS Content</w:t>
      </w:r>
      <w:r w:rsidR="00E65354" w:rsidRPr="0014633D">
        <w:rPr>
          <w:b/>
          <w:sz w:val="22"/>
          <w:szCs w:val="22"/>
        </w:rPr>
        <w:t>:</w:t>
      </w:r>
      <w:r w:rsidR="00E65354" w:rsidRPr="0014633D">
        <w:rPr>
          <w:sz w:val="22"/>
          <w:szCs w:val="22"/>
        </w:rPr>
        <w:t xml:space="preserve"> Practice and Human Behavior and the Social Environment </w:t>
      </w:r>
    </w:p>
    <w:p w:rsidR="00E65354" w:rsidRPr="0014633D" w:rsidRDefault="00E65354" w:rsidP="00E65354">
      <w:pPr>
        <w:pStyle w:val="StyleLinespacingMultiple142li"/>
        <w:ind w:firstLine="0"/>
        <w:rPr>
          <w:sz w:val="22"/>
          <w:szCs w:val="22"/>
        </w:rPr>
      </w:pPr>
      <w:r w:rsidRPr="0014633D">
        <w:rPr>
          <w:sz w:val="22"/>
          <w:szCs w:val="22"/>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to guide practice. It includes theories and knowledge of biological, sociological, cultural, psychological, and spiritual development across the life span; the range of social systems in which people live (individual, family, group, organizational, and community); and the ways social systems promote </w:t>
      </w:r>
      <w:r w:rsidRPr="0014633D">
        <w:rPr>
          <w:bCs/>
          <w:sz w:val="22"/>
          <w:szCs w:val="22"/>
        </w:rPr>
        <w:t>or</w:t>
      </w:r>
      <w:r w:rsidRPr="0014633D">
        <w:rPr>
          <w:sz w:val="22"/>
          <w:szCs w:val="22"/>
        </w:rPr>
        <w:t xml:space="preserve"> deter people in maintaining or achieving health and well-being.</w:t>
      </w:r>
    </w:p>
    <w:p w:rsidR="00E65354" w:rsidRPr="0014633D" w:rsidRDefault="00E65354" w:rsidP="00E65354">
      <w:pPr>
        <w:rPr>
          <w:b/>
          <w:sz w:val="22"/>
          <w:szCs w:val="22"/>
        </w:rPr>
      </w:pPr>
    </w:p>
    <w:p w:rsidR="00EC4FCD" w:rsidRPr="0014633D" w:rsidRDefault="00EC4FCD" w:rsidP="00EC4FCD">
      <w:pPr>
        <w:pStyle w:val="StyleLinespacingMultiple142li"/>
        <w:ind w:firstLine="0"/>
        <w:jc w:val="left"/>
        <w:rPr>
          <w:sz w:val="22"/>
          <w:szCs w:val="22"/>
        </w:rPr>
      </w:pPr>
      <w:r w:rsidRPr="0014633D">
        <w:rPr>
          <w:b/>
          <w:sz w:val="22"/>
          <w:szCs w:val="22"/>
        </w:rPr>
        <w:t xml:space="preserve"> </w:t>
      </w:r>
      <w:r w:rsidRPr="0014633D">
        <w:rPr>
          <w:sz w:val="22"/>
          <w:szCs w:val="22"/>
        </w:rPr>
        <w:t>EPAS core competencies and practice behaviors addressed in this course are:</w:t>
      </w:r>
    </w:p>
    <w:p w:rsidR="00EC4FCD" w:rsidRPr="0014633D" w:rsidRDefault="00EC4FCD" w:rsidP="00EC4FCD">
      <w:pPr>
        <w:pStyle w:val="StyleLinespacingMultiple142li"/>
        <w:ind w:firstLine="0"/>
        <w:rPr>
          <w:sz w:val="22"/>
          <w:szCs w:val="22"/>
        </w:rPr>
      </w:pPr>
    </w:p>
    <w:p w:rsidR="00EC4FCD" w:rsidRPr="0014633D" w:rsidRDefault="00EC4FCD" w:rsidP="00EC4FCD">
      <w:pPr>
        <w:pStyle w:val="Default"/>
        <w:rPr>
          <w:sz w:val="22"/>
          <w:szCs w:val="22"/>
        </w:rPr>
      </w:pPr>
      <w:r w:rsidRPr="0014633D">
        <w:rPr>
          <w:b/>
          <w:bCs/>
          <w:sz w:val="22"/>
          <w:szCs w:val="22"/>
        </w:rPr>
        <w:t>Educational Policy 2.1.1</w:t>
      </w:r>
      <w:r w:rsidRPr="0014633D">
        <w:rPr>
          <w:sz w:val="22"/>
          <w:szCs w:val="22"/>
        </w:rPr>
        <w:t>—</w:t>
      </w:r>
      <w:r w:rsidRPr="0014633D">
        <w:rPr>
          <w:b/>
          <w:bCs/>
          <w:sz w:val="22"/>
          <w:szCs w:val="22"/>
        </w:rPr>
        <w:t xml:space="preserve">Identify as a professional social worker and conduct oneself accordingly. </w:t>
      </w:r>
    </w:p>
    <w:p w:rsidR="00EC4FCD" w:rsidRPr="0014633D" w:rsidRDefault="00EC4FCD" w:rsidP="00EC4FCD">
      <w:pPr>
        <w:pStyle w:val="Default"/>
        <w:rPr>
          <w:sz w:val="22"/>
          <w:szCs w:val="22"/>
        </w:rPr>
      </w:pPr>
      <w:r w:rsidRPr="0014633D">
        <w:rPr>
          <w:sz w:val="22"/>
          <w:szCs w:val="22"/>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advocate for client access to the services of social work;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practice personal reflection and self-correction to assure continual professional development;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attend to professional roles and boundaries;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lastRenderedPageBreak/>
        <w:t xml:space="preserve">• demonstrate professional demeanor in behavior, appearance, and communication;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engage in career-long learning; and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use supervision and consultation. </w:t>
      </w:r>
    </w:p>
    <w:p w:rsidR="002D3F33" w:rsidRPr="0014633D" w:rsidRDefault="002D3F33" w:rsidP="00EC4FCD">
      <w:pPr>
        <w:pStyle w:val="Default"/>
        <w:rPr>
          <w:sz w:val="22"/>
          <w:szCs w:val="22"/>
        </w:rPr>
      </w:pPr>
    </w:p>
    <w:p w:rsidR="00EC4FCD" w:rsidRPr="0014633D" w:rsidRDefault="00EC4FCD" w:rsidP="00EC4FCD">
      <w:pPr>
        <w:pStyle w:val="Default"/>
        <w:rPr>
          <w:sz w:val="22"/>
          <w:szCs w:val="22"/>
        </w:rPr>
      </w:pPr>
      <w:r w:rsidRPr="0014633D">
        <w:rPr>
          <w:b/>
          <w:bCs/>
          <w:sz w:val="22"/>
          <w:szCs w:val="22"/>
        </w:rPr>
        <w:t>Educational Policy 2.1.2</w:t>
      </w:r>
      <w:r w:rsidRPr="0014633D">
        <w:rPr>
          <w:sz w:val="22"/>
          <w:szCs w:val="22"/>
        </w:rPr>
        <w:t>—</w:t>
      </w:r>
      <w:r w:rsidRPr="0014633D">
        <w:rPr>
          <w:b/>
          <w:bCs/>
          <w:sz w:val="22"/>
          <w:szCs w:val="22"/>
        </w:rPr>
        <w:t xml:space="preserve">Apply social work ethical principles to guide professional practice. </w:t>
      </w:r>
    </w:p>
    <w:p w:rsidR="00EC4FCD" w:rsidRPr="0014633D" w:rsidRDefault="00EC4FCD" w:rsidP="00EC4FCD">
      <w:pPr>
        <w:pStyle w:val="Default"/>
        <w:rPr>
          <w:sz w:val="22"/>
          <w:szCs w:val="22"/>
        </w:rPr>
      </w:pPr>
      <w:r w:rsidRPr="0014633D">
        <w:rPr>
          <w:sz w:val="22"/>
          <w:szCs w:val="22"/>
        </w:rPr>
        <w:t xml:space="preserve">Social workers have an obligation to conduct themselves ethically and to engage in ethical decision-making. Social workers are knowledgeable about the value base of the profession, its ethical standards, and relevant law.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recognize and manage personal values in a way that allows professional values to guide practice;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make ethical decisions by applying standards of the National Association of Social Workers Code of Ethics2 and, as applicable, of the International Federation of Social Workers/International Association of Schools of Social Work Ethics in Social Work, Statement of Principles;3</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tolerate ambiguity in resolving ethical conflicts; and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apply strategies of ethical reasoning to arrive at principled decisions. </w:t>
      </w:r>
    </w:p>
    <w:p w:rsidR="00287CC7" w:rsidRPr="0014633D" w:rsidRDefault="00287CC7" w:rsidP="00287CC7">
      <w:pPr>
        <w:pStyle w:val="Default"/>
        <w:numPr>
          <w:ilvl w:val="0"/>
          <w:numId w:val="11"/>
        </w:numPr>
        <w:rPr>
          <w:color w:val="auto"/>
          <w:sz w:val="22"/>
          <w:szCs w:val="22"/>
        </w:rPr>
      </w:pPr>
      <w:r w:rsidRPr="0014633D">
        <w:rPr>
          <w:color w:val="auto"/>
          <w:sz w:val="22"/>
          <w:szCs w:val="22"/>
        </w:rPr>
        <w:t xml:space="preserve">Advanced practitioners in DPMH will describe an effective decision-making strategy for deciphering ethical dilemmas in mental health treatment.  </w:t>
      </w:r>
    </w:p>
    <w:p w:rsidR="00287CC7" w:rsidRPr="0014633D" w:rsidRDefault="00287CC7" w:rsidP="00EC4FCD">
      <w:pPr>
        <w:pStyle w:val="Default"/>
        <w:rPr>
          <w:color w:val="auto"/>
          <w:sz w:val="22"/>
          <w:szCs w:val="22"/>
        </w:rPr>
      </w:pPr>
    </w:p>
    <w:p w:rsidR="00EC4FCD" w:rsidRPr="0014633D" w:rsidRDefault="00EC4FCD" w:rsidP="00EC4FCD">
      <w:pPr>
        <w:pStyle w:val="Default"/>
        <w:rPr>
          <w:color w:val="auto"/>
          <w:sz w:val="22"/>
          <w:szCs w:val="22"/>
        </w:rPr>
      </w:pPr>
    </w:p>
    <w:p w:rsidR="00EC4FCD" w:rsidRPr="0014633D" w:rsidRDefault="00EC4FCD" w:rsidP="00EC4FCD">
      <w:pPr>
        <w:pStyle w:val="Default"/>
        <w:rPr>
          <w:sz w:val="22"/>
          <w:szCs w:val="22"/>
        </w:rPr>
      </w:pPr>
      <w:r w:rsidRPr="0014633D">
        <w:rPr>
          <w:b/>
          <w:bCs/>
          <w:sz w:val="22"/>
          <w:szCs w:val="22"/>
        </w:rPr>
        <w:t>Educational Policy 2.1.3</w:t>
      </w:r>
      <w:r w:rsidRPr="0014633D">
        <w:rPr>
          <w:sz w:val="22"/>
          <w:szCs w:val="22"/>
        </w:rPr>
        <w:t>—</w:t>
      </w:r>
      <w:r w:rsidRPr="0014633D">
        <w:rPr>
          <w:b/>
          <w:bCs/>
          <w:sz w:val="22"/>
          <w:szCs w:val="22"/>
        </w:rPr>
        <w:t xml:space="preserve">Apply critical thinking to inform and communicate professional judgments. </w:t>
      </w:r>
    </w:p>
    <w:p w:rsidR="00EC4FCD" w:rsidRPr="0014633D" w:rsidRDefault="00EC4FCD" w:rsidP="00EC4FCD">
      <w:pPr>
        <w:pStyle w:val="Default"/>
        <w:rPr>
          <w:sz w:val="22"/>
          <w:szCs w:val="22"/>
        </w:rPr>
      </w:pPr>
      <w:r w:rsidRPr="0014633D">
        <w:rPr>
          <w:sz w:val="22"/>
          <w:szCs w:val="22"/>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distinguish, appraise, and integrate multiple sources of knowledge, including research-based knowledge, and practice wisdom;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analyze models of assessment, prevention, intervention, and evaluation; and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demonstrate effective oral and written communication in working with individuals, families, groups, organizations, communities, and colleagues. </w:t>
      </w:r>
    </w:p>
    <w:p w:rsidR="00287CC7" w:rsidRPr="0014633D" w:rsidRDefault="00287CC7" w:rsidP="0075767D">
      <w:pPr>
        <w:pStyle w:val="Default"/>
        <w:numPr>
          <w:ilvl w:val="0"/>
          <w:numId w:val="12"/>
        </w:numPr>
        <w:rPr>
          <w:color w:val="auto"/>
          <w:sz w:val="22"/>
          <w:szCs w:val="22"/>
        </w:rPr>
      </w:pPr>
      <w:r w:rsidRPr="0014633D">
        <w:rPr>
          <w:color w:val="auto"/>
          <w:sz w:val="22"/>
          <w:szCs w:val="22"/>
        </w:rPr>
        <w:t>Advanced practitioners in DPMH will use critical thinking to adapt established assessment and treatment approaches to the unique characteristics</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b/>
          <w:bCs/>
          <w:sz w:val="22"/>
          <w:szCs w:val="22"/>
        </w:rPr>
        <w:t>Educational Policy 2.1.4</w:t>
      </w:r>
      <w:r w:rsidRPr="0014633D">
        <w:rPr>
          <w:sz w:val="22"/>
          <w:szCs w:val="22"/>
        </w:rPr>
        <w:t>—</w:t>
      </w:r>
      <w:r w:rsidRPr="0014633D">
        <w:rPr>
          <w:b/>
          <w:bCs/>
          <w:sz w:val="22"/>
          <w:szCs w:val="22"/>
        </w:rPr>
        <w:t xml:space="preserve">Engage diversity and difference in practice. </w:t>
      </w:r>
    </w:p>
    <w:p w:rsidR="00EC4FCD" w:rsidRPr="0014633D" w:rsidRDefault="00EC4FCD" w:rsidP="00EC4FCD">
      <w:pPr>
        <w:pStyle w:val="Default"/>
        <w:rPr>
          <w:sz w:val="22"/>
          <w:szCs w:val="22"/>
        </w:rPr>
      </w:pPr>
      <w:r w:rsidRPr="0014633D">
        <w:rPr>
          <w:sz w:val="22"/>
          <w:szCs w:val="22"/>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recognize the extent to which a culture’s structures and values may oppress, marginalize, alienate, or create or enhance privilege and power;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lastRenderedPageBreak/>
        <w:t xml:space="preserve">• gain sufficient self-awareness to eliminate the influence of personal biases and values in working with diverse groups;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recognize and communicate their understanding of the importance of difference in shaping life experiences; and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view themselves as learners and engage those with whom they work as informants. </w:t>
      </w:r>
    </w:p>
    <w:p w:rsidR="0074122E" w:rsidRPr="0014633D" w:rsidRDefault="0074122E" w:rsidP="0074122E">
      <w:pPr>
        <w:numPr>
          <w:ilvl w:val="0"/>
          <w:numId w:val="13"/>
        </w:numPr>
        <w:autoSpaceDE w:val="0"/>
        <w:autoSpaceDN w:val="0"/>
        <w:adjustRightInd w:val="0"/>
        <w:rPr>
          <w:sz w:val="22"/>
          <w:szCs w:val="22"/>
        </w:rPr>
      </w:pPr>
      <w:r w:rsidRPr="0014633D">
        <w:rPr>
          <w:sz w:val="22"/>
          <w:szCs w:val="22"/>
        </w:rPr>
        <w:t>Advanced practitioners in DPMH understand the knowledge base and skills in how to intervene with the culture-bound syndromes defined in the Diagnostic and Statistical Manual.</w:t>
      </w:r>
    </w:p>
    <w:p w:rsidR="0074122E" w:rsidRPr="0014633D" w:rsidRDefault="0074122E" w:rsidP="0074122E">
      <w:pPr>
        <w:numPr>
          <w:ilvl w:val="0"/>
          <w:numId w:val="13"/>
        </w:numPr>
        <w:autoSpaceDE w:val="0"/>
        <w:autoSpaceDN w:val="0"/>
        <w:adjustRightInd w:val="0"/>
        <w:rPr>
          <w:sz w:val="22"/>
          <w:szCs w:val="22"/>
        </w:rPr>
      </w:pPr>
      <w:r w:rsidRPr="0014633D">
        <w:rPr>
          <w:sz w:val="22"/>
          <w:szCs w:val="22"/>
        </w:rPr>
        <w:t xml:space="preserve">Advanced practitioners in DPMH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 </w:t>
      </w:r>
    </w:p>
    <w:p w:rsidR="0074122E" w:rsidRPr="0014633D" w:rsidRDefault="0074122E" w:rsidP="0074122E">
      <w:pPr>
        <w:pStyle w:val="Default"/>
        <w:rPr>
          <w:sz w:val="22"/>
          <w:szCs w:val="22"/>
        </w:rPr>
      </w:pPr>
    </w:p>
    <w:p w:rsidR="00EC4FCD" w:rsidRPr="0014633D" w:rsidRDefault="00EC4FCD" w:rsidP="00EC4FCD">
      <w:pPr>
        <w:pStyle w:val="Default"/>
        <w:rPr>
          <w:sz w:val="22"/>
          <w:szCs w:val="22"/>
        </w:rPr>
      </w:pPr>
      <w:r w:rsidRPr="0014633D">
        <w:rPr>
          <w:b/>
          <w:bCs/>
          <w:sz w:val="22"/>
          <w:szCs w:val="22"/>
        </w:rPr>
        <w:t>Educational Policy 2.1.6</w:t>
      </w:r>
      <w:r w:rsidRPr="0014633D">
        <w:rPr>
          <w:sz w:val="22"/>
          <w:szCs w:val="22"/>
        </w:rPr>
        <w:t>—</w:t>
      </w:r>
      <w:r w:rsidRPr="0014633D">
        <w:rPr>
          <w:b/>
          <w:bCs/>
          <w:sz w:val="22"/>
          <w:szCs w:val="22"/>
        </w:rPr>
        <w:t xml:space="preserve">Engage in research-informed practice and practice-informed research. </w:t>
      </w:r>
    </w:p>
    <w:p w:rsidR="00EC4FCD" w:rsidRPr="0014633D" w:rsidRDefault="00EC4FCD" w:rsidP="00EC4FCD">
      <w:pPr>
        <w:pStyle w:val="Default"/>
        <w:rPr>
          <w:sz w:val="22"/>
          <w:szCs w:val="22"/>
        </w:rPr>
      </w:pPr>
      <w:r w:rsidRPr="0014633D">
        <w:rPr>
          <w:sz w:val="22"/>
          <w:szCs w:val="22"/>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use practice experience to inform scientific inquiry and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use research evidence to inform practice. </w:t>
      </w:r>
    </w:p>
    <w:p w:rsidR="0074122E" w:rsidRPr="0014633D" w:rsidRDefault="0074122E" w:rsidP="0074122E">
      <w:pPr>
        <w:pStyle w:val="Default"/>
        <w:numPr>
          <w:ilvl w:val="0"/>
          <w:numId w:val="14"/>
        </w:numPr>
        <w:rPr>
          <w:color w:val="auto"/>
          <w:sz w:val="22"/>
          <w:szCs w:val="22"/>
        </w:rPr>
      </w:pPr>
      <w:r w:rsidRPr="0014633D">
        <w:rPr>
          <w:color w:val="auto"/>
          <w:sz w:val="22"/>
          <w:szCs w:val="22"/>
        </w:rPr>
        <w:t>Advanced practitioners in DPMH 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p w:rsidR="0074122E" w:rsidRPr="0014633D" w:rsidRDefault="0074122E" w:rsidP="00EC4FCD">
      <w:pPr>
        <w:pStyle w:val="Default"/>
        <w:rPr>
          <w:sz w:val="22"/>
          <w:szCs w:val="22"/>
        </w:rPr>
      </w:pP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b/>
          <w:bCs/>
          <w:sz w:val="22"/>
          <w:szCs w:val="22"/>
        </w:rPr>
        <w:t>Educational Policy 2.1.7</w:t>
      </w:r>
      <w:r w:rsidRPr="0014633D">
        <w:rPr>
          <w:sz w:val="22"/>
          <w:szCs w:val="22"/>
        </w:rPr>
        <w:t>—</w:t>
      </w:r>
      <w:r w:rsidRPr="0014633D">
        <w:rPr>
          <w:b/>
          <w:bCs/>
          <w:sz w:val="22"/>
          <w:szCs w:val="22"/>
        </w:rPr>
        <w:t xml:space="preserve">Apply knowledge of human behavior and the social environment. </w:t>
      </w:r>
    </w:p>
    <w:p w:rsidR="00EC4FCD" w:rsidRPr="0014633D" w:rsidRDefault="00EC4FCD" w:rsidP="00EC4FCD">
      <w:pPr>
        <w:pStyle w:val="Default"/>
        <w:rPr>
          <w:sz w:val="22"/>
          <w:szCs w:val="22"/>
        </w:rPr>
      </w:pPr>
      <w:r w:rsidRPr="0014633D">
        <w:rPr>
          <w:sz w:val="22"/>
          <w:szCs w:val="22"/>
        </w:rPr>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utilize conceptual frameworks to guide the processes of assessment, intervention, and evaluation; and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critique and apply knowledge to understand person and environment. </w:t>
      </w:r>
    </w:p>
    <w:p w:rsidR="0074122E" w:rsidRPr="0014633D" w:rsidRDefault="0074122E" w:rsidP="0074122E">
      <w:pPr>
        <w:pStyle w:val="Default"/>
        <w:numPr>
          <w:ilvl w:val="0"/>
          <w:numId w:val="15"/>
        </w:numPr>
        <w:rPr>
          <w:color w:val="auto"/>
          <w:sz w:val="22"/>
          <w:szCs w:val="22"/>
        </w:rPr>
      </w:pPr>
      <w:r w:rsidRPr="0014633D">
        <w:rPr>
          <w:color w:val="auto"/>
          <w:sz w:val="22"/>
          <w:szCs w:val="22"/>
        </w:rPr>
        <w:t xml:space="preserve">Advanced practitioners in DPMH will be able to define mental health, mental illness, and mental well-being.  </w:t>
      </w:r>
    </w:p>
    <w:p w:rsidR="0074122E" w:rsidRPr="0014633D" w:rsidRDefault="0074122E" w:rsidP="0074122E">
      <w:pPr>
        <w:pStyle w:val="Default"/>
        <w:numPr>
          <w:ilvl w:val="0"/>
          <w:numId w:val="15"/>
        </w:numPr>
        <w:rPr>
          <w:color w:val="auto"/>
          <w:sz w:val="22"/>
          <w:szCs w:val="22"/>
        </w:rPr>
      </w:pPr>
      <w:r w:rsidRPr="0014633D">
        <w:rPr>
          <w:color w:val="auto"/>
          <w:sz w:val="22"/>
          <w:szCs w:val="22"/>
        </w:rPr>
        <w:t xml:space="preserve">Advanced practitioners in DPMH will be able to compare the various etiology and treatment options for substance abuse and addiction.  </w:t>
      </w:r>
    </w:p>
    <w:p w:rsidR="0074122E" w:rsidRPr="0014633D" w:rsidRDefault="0074122E" w:rsidP="0074122E">
      <w:pPr>
        <w:numPr>
          <w:ilvl w:val="0"/>
          <w:numId w:val="15"/>
        </w:numPr>
        <w:autoSpaceDE w:val="0"/>
        <w:autoSpaceDN w:val="0"/>
        <w:adjustRightInd w:val="0"/>
        <w:rPr>
          <w:sz w:val="22"/>
          <w:szCs w:val="22"/>
        </w:rPr>
      </w:pPr>
      <w:r w:rsidRPr="0014633D">
        <w:rPr>
          <w:sz w:val="22"/>
          <w:szCs w:val="22"/>
        </w:rPr>
        <w:t xml:space="preserve">Advanced practitioners in DPMH understand the relevant organizational world-views and culture that influence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 </w:t>
      </w:r>
    </w:p>
    <w:p w:rsidR="0074122E" w:rsidRPr="0014633D" w:rsidRDefault="0074122E" w:rsidP="0074122E">
      <w:pPr>
        <w:numPr>
          <w:ilvl w:val="0"/>
          <w:numId w:val="15"/>
        </w:numPr>
        <w:autoSpaceDE w:val="0"/>
        <w:autoSpaceDN w:val="0"/>
        <w:adjustRightInd w:val="0"/>
        <w:rPr>
          <w:sz w:val="22"/>
          <w:szCs w:val="22"/>
        </w:rPr>
      </w:pPr>
      <w:r w:rsidRPr="0014633D">
        <w:rPr>
          <w:sz w:val="22"/>
          <w:szCs w:val="22"/>
        </w:rPr>
        <w:lastRenderedPageBreak/>
        <w:t xml:space="preserve"> They understand and critique the application of relevant social and psychological theory/practice models that inform social work in efforts to adapt them to these clients, their families, and/or their communities.</w:t>
      </w:r>
    </w:p>
    <w:p w:rsidR="0074122E" w:rsidRPr="0014633D" w:rsidRDefault="0074122E" w:rsidP="0074122E">
      <w:pPr>
        <w:numPr>
          <w:ilvl w:val="0"/>
          <w:numId w:val="15"/>
        </w:numPr>
        <w:autoSpaceDE w:val="0"/>
        <w:autoSpaceDN w:val="0"/>
        <w:adjustRightInd w:val="0"/>
        <w:rPr>
          <w:sz w:val="22"/>
          <w:szCs w:val="22"/>
        </w:rPr>
      </w:pPr>
      <w:r w:rsidRPr="0014633D">
        <w:rPr>
          <w:sz w:val="22"/>
          <w:szCs w:val="22"/>
        </w:rPr>
        <w:t>Advanced practitioners understand system resources available to clients across the</w:t>
      </w:r>
    </w:p>
    <w:p w:rsidR="0074122E" w:rsidRPr="0014633D" w:rsidRDefault="0074122E" w:rsidP="0074122E">
      <w:pPr>
        <w:autoSpaceDE w:val="0"/>
        <w:autoSpaceDN w:val="0"/>
        <w:adjustRightInd w:val="0"/>
        <w:ind w:left="720"/>
        <w:rPr>
          <w:sz w:val="22"/>
          <w:szCs w:val="22"/>
        </w:rPr>
      </w:pPr>
      <w:r w:rsidRPr="0014633D">
        <w:rPr>
          <w:sz w:val="22"/>
          <w:szCs w:val="22"/>
        </w:rPr>
        <w:t xml:space="preserve">life course, and the unique issues facing them in gaining access to and utilizing these resources and reforming policy and delivery systems to address unmet needs. </w:t>
      </w:r>
    </w:p>
    <w:p w:rsidR="0074122E" w:rsidRPr="0014633D" w:rsidRDefault="0074122E" w:rsidP="0074122E">
      <w:pPr>
        <w:numPr>
          <w:ilvl w:val="0"/>
          <w:numId w:val="15"/>
        </w:numPr>
        <w:autoSpaceDE w:val="0"/>
        <w:autoSpaceDN w:val="0"/>
        <w:adjustRightInd w:val="0"/>
        <w:rPr>
          <w:sz w:val="22"/>
          <w:szCs w:val="22"/>
        </w:rPr>
      </w:pPr>
      <w:r w:rsidRPr="0014633D">
        <w:rPr>
          <w:sz w:val="22"/>
          <w:szCs w:val="22"/>
        </w:rPr>
        <w:t>Advanced practitioners understand increased risk and protective factors related to bio-psycho-social-spiritual domains and incorporate them in their assessment and intervention, as well as a range of physical health and recovery issues associated with social stigma and marginalization of persons with mental health diagnoses and psychiatric disabilities.</w:t>
      </w:r>
    </w:p>
    <w:p w:rsidR="0074122E" w:rsidRPr="0014633D" w:rsidRDefault="0074122E" w:rsidP="00EC4FCD">
      <w:pPr>
        <w:pStyle w:val="Default"/>
        <w:rPr>
          <w:sz w:val="22"/>
          <w:szCs w:val="22"/>
        </w:rPr>
      </w:pP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b/>
          <w:bCs/>
          <w:sz w:val="22"/>
          <w:szCs w:val="22"/>
        </w:rPr>
        <w:t>Educational Policy 2.1.9</w:t>
      </w:r>
      <w:r w:rsidRPr="0014633D">
        <w:rPr>
          <w:sz w:val="22"/>
          <w:szCs w:val="22"/>
        </w:rPr>
        <w:t>—</w:t>
      </w:r>
      <w:r w:rsidRPr="0014633D">
        <w:rPr>
          <w:b/>
          <w:bCs/>
          <w:sz w:val="22"/>
          <w:szCs w:val="22"/>
        </w:rPr>
        <w:t xml:space="preserve">Respond to contexts that shape practice. </w:t>
      </w:r>
    </w:p>
    <w:p w:rsidR="00EC4FCD" w:rsidRPr="0014633D" w:rsidRDefault="00EC4FCD" w:rsidP="00EC4FCD">
      <w:pPr>
        <w:pStyle w:val="Default"/>
        <w:rPr>
          <w:sz w:val="22"/>
          <w:szCs w:val="22"/>
        </w:rPr>
      </w:pPr>
      <w:r w:rsidRPr="0014633D">
        <w:rPr>
          <w:sz w:val="22"/>
          <w:szCs w:val="22"/>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 </w:t>
      </w:r>
    </w:p>
    <w:p w:rsidR="00EC4FCD" w:rsidRPr="0014633D" w:rsidRDefault="00EC4FCD" w:rsidP="00EC4FCD">
      <w:pPr>
        <w:pStyle w:val="Default"/>
        <w:rPr>
          <w:sz w:val="22"/>
          <w:szCs w:val="22"/>
        </w:rPr>
      </w:pPr>
    </w:p>
    <w:p w:rsidR="00EC4FCD" w:rsidRPr="0014633D" w:rsidRDefault="00EC4FCD" w:rsidP="00EC4FCD">
      <w:pPr>
        <w:pStyle w:val="Default"/>
        <w:rPr>
          <w:sz w:val="22"/>
          <w:szCs w:val="22"/>
        </w:rPr>
      </w:pPr>
      <w:r w:rsidRPr="0014633D">
        <w:rPr>
          <w:sz w:val="22"/>
          <w:szCs w:val="22"/>
        </w:rPr>
        <w:t xml:space="preserve">• continuously discover, appraise, and attend to changing locales, populations, scientific and technological developments, and emerging societal trends to provide relevant services; and </w:t>
      </w:r>
    </w:p>
    <w:p w:rsidR="00EC4FCD" w:rsidRPr="0014633D" w:rsidRDefault="00EC4FCD" w:rsidP="00EC4FCD">
      <w:pPr>
        <w:pStyle w:val="Default"/>
        <w:rPr>
          <w:sz w:val="22"/>
          <w:szCs w:val="22"/>
        </w:rPr>
      </w:pPr>
    </w:p>
    <w:p w:rsidR="002D3F33" w:rsidRPr="0014633D" w:rsidRDefault="00EC4FCD" w:rsidP="0074122E">
      <w:pPr>
        <w:pStyle w:val="Default"/>
        <w:rPr>
          <w:sz w:val="22"/>
          <w:szCs w:val="22"/>
        </w:rPr>
      </w:pPr>
      <w:r w:rsidRPr="0014633D">
        <w:rPr>
          <w:sz w:val="22"/>
          <w:szCs w:val="22"/>
        </w:rPr>
        <w:t xml:space="preserve">• provide leadership in promoting sustainable changes in service delivery and practice to improve the quality of social services. </w:t>
      </w:r>
    </w:p>
    <w:p w:rsidR="0074122E" w:rsidRPr="0014633D" w:rsidRDefault="0074122E" w:rsidP="0074122E">
      <w:pPr>
        <w:pStyle w:val="Default"/>
        <w:rPr>
          <w:sz w:val="22"/>
          <w:szCs w:val="22"/>
        </w:rPr>
      </w:pPr>
    </w:p>
    <w:p w:rsidR="0074122E" w:rsidRPr="0014633D" w:rsidRDefault="0074122E" w:rsidP="0074122E">
      <w:pPr>
        <w:pStyle w:val="Default"/>
        <w:rPr>
          <w:sz w:val="22"/>
          <w:szCs w:val="22"/>
        </w:rPr>
      </w:pPr>
      <w:r w:rsidRPr="0014633D">
        <w:rPr>
          <w:b/>
          <w:bCs/>
          <w:sz w:val="22"/>
          <w:szCs w:val="22"/>
        </w:rPr>
        <w:t>Educational Policy 2.1.10(a)–(d)</w:t>
      </w:r>
      <w:r w:rsidRPr="0014633D">
        <w:rPr>
          <w:sz w:val="22"/>
          <w:szCs w:val="22"/>
        </w:rPr>
        <w:t>—</w:t>
      </w:r>
      <w:r w:rsidRPr="0014633D">
        <w:rPr>
          <w:b/>
          <w:bCs/>
          <w:sz w:val="22"/>
          <w:szCs w:val="22"/>
        </w:rPr>
        <w:t xml:space="preserve">Engage, assess, intervene, and evaluate with individuals, families, groups, organizations, and communities. </w:t>
      </w:r>
    </w:p>
    <w:p w:rsidR="0074122E" w:rsidRPr="0014633D" w:rsidRDefault="0074122E" w:rsidP="0074122E">
      <w:pPr>
        <w:pStyle w:val="Default"/>
        <w:rPr>
          <w:sz w:val="22"/>
          <w:szCs w:val="22"/>
        </w:rPr>
      </w:pPr>
      <w:r w:rsidRPr="0014633D">
        <w:rPr>
          <w:sz w:val="22"/>
          <w:szCs w:val="22"/>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p w:rsidR="0074122E" w:rsidRPr="0014633D" w:rsidRDefault="0074122E" w:rsidP="0074122E">
      <w:pPr>
        <w:numPr>
          <w:ilvl w:val="0"/>
          <w:numId w:val="16"/>
        </w:numPr>
        <w:autoSpaceDE w:val="0"/>
        <w:autoSpaceDN w:val="0"/>
        <w:adjustRightInd w:val="0"/>
        <w:rPr>
          <w:sz w:val="22"/>
          <w:szCs w:val="22"/>
        </w:rPr>
      </w:pPr>
      <w:r w:rsidRPr="0014633D">
        <w:rPr>
          <w:sz w:val="22"/>
          <w:szCs w:val="22"/>
        </w:rPr>
        <w:t>Advanced practitioners in DPMH will be able to describe the structure of the DSM IV and conduct an assessment using the DSM criteria and structure.</w:t>
      </w:r>
    </w:p>
    <w:p w:rsidR="0074122E" w:rsidRPr="0014633D" w:rsidRDefault="0074122E" w:rsidP="0074122E">
      <w:pPr>
        <w:numPr>
          <w:ilvl w:val="0"/>
          <w:numId w:val="16"/>
        </w:numPr>
        <w:autoSpaceDE w:val="0"/>
        <w:autoSpaceDN w:val="0"/>
        <w:adjustRightInd w:val="0"/>
        <w:rPr>
          <w:sz w:val="22"/>
          <w:szCs w:val="22"/>
        </w:rPr>
      </w:pPr>
      <w:r w:rsidRPr="0014633D">
        <w:rPr>
          <w:sz w:val="22"/>
          <w:szCs w:val="22"/>
        </w:rPr>
        <w:t>Advanced practitioners in DPMH demonstrate the ability to critically appraise the impact of the social environment on the overall well-being of persons with severe and persistent mental illness and substance use disorders, persons with other mental health issues, and persons with psychiatric disabilities, and their families and communities.</w:t>
      </w:r>
    </w:p>
    <w:p w:rsidR="0074122E" w:rsidRPr="0014633D" w:rsidRDefault="0074122E" w:rsidP="0074122E">
      <w:pPr>
        <w:numPr>
          <w:ilvl w:val="0"/>
          <w:numId w:val="16"/>
        </w:numPr>
        <w:autoSpaceDE w:val="0"/>
        <w:autoSpaceDN w:val="0"/>
        <w:adjustRightInd w:val="0"/>
        <w:rPr>
          <w:sz w:val="22"/>
          <w:szCs w:val="22"/>
        </w:rPr>
      </w:pPr>
      <w:r w:rsidRPr="0014633D">
        <w:rPr>
          <w:sz w:val="22"/>
          <w:szCs w:val="22"/>
        </w:rPr>
        <w:t>Advanced practitioners in DPMH recognize and assess social support systems and socioeconomic resources specific to persons with severe and persistent mental illness and substance use disorders, persons with other mental health issues, and persons with psychiatric disabilities, and their families and communities</w:t>
      </w:r>
    </w:p>
    <w:p w:rsidR="001047F5" w:rsidRPr="0014633D" w:rsidRDefault="001047F5" w:rsidP="001047F5">
      <w:pPr>
        <w:autoSpaceDE w:val="0"/>
        <w:autoSpaceDN w:val="0"/>
        <w:adjustRightInd w:val="0"/>
        <w:rPr>
          <w:sz w:val="22"/>
          <w:szCs w:val="22"/>
        </w:rPr>
      </w:pPr>
    </w:p>
    <w:p w:rsidR="001047F5" w:rsidRPr="0014633D" w:rsidRDefault="001047F5" w:rsidP="001047F5">
      <w:pPr>
        <w:rPr>
          <w:b/>
          <w:sz w:val="22"/>
          <w:szCs w:val="22"/>
        </w:rPr>
      </w:pPr>
      <w:r w:rsidRPr="0014633D">
        <w:rPr>
          <w:b/>
          <w:color w:val="000000"/>
          <w:sz w:val="22"/>
          <w:szCs w:val="22"/>
        </w:rPr>
        <w:t>Definition of Evidence-Informed Practice:</w:t>
      </w:r>
    </w:p>
    <w:p w:rsidR="001047F5" w:rsidRPr="0014633D" w:rsidRDefault="001047F5" w:rsidP="001047F5">
      <w:pPr>
        <w:ind w:left="990"/>
        <w:rPr>
          <w:b/>
          <w:sz w:val="22"/>
          <w:szCs w:val="22"/>
        </w:rPr>
      </w:pPr>
    </w:p>
    <w:p w:rsidR="001047F5" w:rsidRPr="0014633D" w:rsidRDefault="001047F5" w:rsidP="001047F5">
      <w:pPr>
        <w:ind w:firstLine="990"/>
        <w:rPr>
          <w:sz w:val="22"/>
          <w:szCs w:val="22"/>
        </w:rPr>
      </w:pPr>
      <w:r w:rsidRPr="0014633D">
        <w:rPr>
          <w:sz w:val="22"/>
          <w:szCs w:val="22"/>
        </w:rPr>
        <w:t>Evidence-informed practice (EIP) is a guiding principal for the UT</w:t>
      </w:r>
      <w:r w:rsidR="00E417A3">
        <w:rPr>
          <w:sz w:val="22"/>
          <w:szCs w:val="22"/>
        </w:rPr>
        <w:t xml:space="preserve"> </w:t>
      </w:r>
      <w:r w:rsidRPr="0014633D">
        <w:rPr>
          <w:sz w:val="22"/>
          <w:szCs w:val="22"/>
        </w:rPr>
        <w:t>Arlington-SSW.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w:t>
      </w:r>
      <w:r w:rsidR="00E417A3">
        <w:rPr>
          <w:sz w:val="22"/>
          <w:szCs w:val="22"/>
        </w:rPr>
        <w:t xml:space="preserve"> </w:t>
      </w:r>
      <w:r w:rsidRPr="0014633D">
        <w:rPr>
          <w:sz w:val="22"/>
          <w:szCs w:val="22"/>
        </w:rPr>
        <w:t>Arlington-SSW:</w:t>
      </w:r>
    </w:p>
    <w:p w:rsidR="001047F5" w:rsidRPr="0014633D" w:rsidRDefault="001047F5" w:rsidP="001047F5">
      <w:pPr>
        <w:ind w:firstLine="990"/>
        <w:rPr>
          <w:sz w:val="22"/>
          <w:szCs w:val="22"/>
        </w:rPr>
      </w:pPr>
    </w:p>
    <w:p w:rsidR="001047F5" w:rsidRPr="0014633D" w:rsidRDefault="001047F5" w:rsidP="001047F5">
      <w:pPr>
        <w:ind w:right="900" w:firstLine="990"/>
        <w:rPr>
          <w:sz w:val="22"/>
          <w:szCs w:val="22"/>
        </w:rPr>
      </w:pPr>
      <w:r w:rsidRPr="0014633D">
        <w:rPr>
          <w:sz w:val="22"/>
          <w:szCs w:val="22"/>
        </w:rPr>
        <w:lastRenderedPageBreak/>
        <w:tab/>
        <w:t xml:space="preserve">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 </w:t>
      </w:r>
    </w:p>
    <w:p w:rsidR="001047F5" w:rsidRPr="0014633D" w:rsidRDefault="001047F5" w:rsidP="001047F5">
      <w:pPr>
        <w:ind w:right="900" w:firstLine="990"/>
        <w:rPr>
          <w:sz w:val="22"/>
          <w:szCs w:val="22"/>
        </w:rPr>
      </w:pPr>
    </w:p>
    <w:p w:rsidR="001047F5" w:rsidRPr="0014633D" w:rsidRDefault="001047F5" w:rsidP="001047F5">
      <w:pPr>
        <w:ind w:firstLine="990"/>
        <w:rPr>
          <w:sz w:val="22"/>
          <w:szCs w:val="22"/>
        </w:rPr>
      </w:pPr>
      <w:r w:rsidRPr="0014633D">
        <w:rPr>
          <w:sz w:val="22"/>
          <w:szCs w:val="22"/>
        </w:rPr>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1047F5" w:rsidRPr="0014633D" w:rsidRDefault="001047F5" w:rsidP="001047F5">
      <w:pPr>
        <w:tabs>
          <w:tab w:val="left" w:pos="540"/>
        </w:tabs>
        <w:rPr>
          <w:b/>
          <w:sz w:val="22"/>
          <w:szCs w:val="22"/>
        </w:rPr>
      </w:pPr>
      <w:r w:rsidRPr="0014633D">
        <w:rPr>
          <w:b/>
          <w:color w:val="000000"/>
          <w:sz w:val="22"/>
          <w:szCs w:val="22"/>
        </w:rPr>
        <w:t>Definition of Empowerment:</w:t>
      </w:r>
      <w:r w:rsidRPr="0014633D">
        <w:rPr>
          <w:b/>
          <w:sz w:val="22"/>
          <w:szCs w:val="22"/>
        </w:rPr>
        <w:t xml:space="preserve"> </w:t>
      </w:r>
      <w:r w:rsidRPr="0014633D">
        <w:rPr>
          <w:sz w:val="22"/>
          <w:szCs w:val="22"/>
        </w:rPr>
        <w:t>as</w:t>
      </w:r>
      <w:r w:rsidRPr="0014633D">
        <w:rPr>
          <w:b/>
          <w:sz w:val="22"/>
          <w:szCs w:val="22"/>
        </w:rPr>
        <w:t xml:space="preserve"> </w:t>
      </w:r>
      <w:r w:rsidRPr="0014633D">
        <w:rPr>
          <w:sz w:val="22"/>
          <w:szCs w:val="22"/>
        </w:rPr>
        <w:t xml:space="preserve">defined by Barker (2003:142) as follows: </w:t>
      </w:r>
    </w:p>
    <w:p w:rsidR="001047F5" w:rsidRPr="0014633D" w:rsidRDefault="001047F5" w:rsidP="001047F5">
      <w:pPr>
        <w:ind w:firstLine="990"/>
        <w:rPr>
          <w:sz w:val="22"/>
          <w:szCs w:val="22"/>
        </w:rPr>
      </w:pPr>
      <w:r w:rsidRPr="0014633D">
        <w:rPr>
          <w:sz w:val="22"/>
          <w:szCs w:val="22"/>
        </w:rPr>
        <w:t> </w:t>
      </w:r>
    </w:p>
    <w:p w:rsidR="001047F5" w:rsidRPr="0014633D" w:rsidRDefault="001047F5" w:rsidP="001047F5">
      <w:pPr>
        <w:ind w:firstLine="990"/>
        <w:rPr>
          <w:sz w:val="22"/>
          <w:szCs w:val="22"/>
        </w:rPr>
      </w:pPr>
      <w:r w:rsidRPr="0014633D">
        <w:rPr>
          <w:sz w:val="22"/>
          <w:szCs w:val="22"/>
        </w:rPr>
        <w:t>In social work practice, the process of helping individuals, families, groups, and communities increase their personal, interpersonal, socioeconomic, and political strength and develop influence toward improving their circumstances.</w:t>
      </w:r>
    </w:p>
    <w:p w:rsidR="001047F5" w:rsidRPr="0014633D" w:rsidRDefault="001047F5" w:rsidP="001047F5">
      <w:pPr>
        <w:autoSpaceDE w:val="0"/>
        <w:autoSpaceDN w:val="0"/>
        <w:adjustRightInd w:val="0"/>
        <w:rPr>
          <w:sz w:val="22"/>
          <w:szCs w:val="22"/>
        </w:rPr>
      </w:pPr>
    </w:p>
    <w:p w:rsidR="00963151" w:rsidRPr="0014633D" w:rsidRDefault="00963151" w:rsidP="00963151">
      <w:pPr>
        <w:rPr>
          <w:b/>
          <w:sz w:val="22"/>
          <w:szCs w:val="22"/>
        </w:rPr>
      </w:pPr>
    </w:p>
    <w:p w:rsidR="00E65354" w:rsidRPr="0014633D" w:rsidRDefault="00E65354" w:rsidP="00E65354">
      <w:pPr>
        <w:rPr>
          <w:b/>
          <w:sz w:val="22"/>
          <w:szCs w:val="22"/>
        </w:rPr>
      </w:pPr>
      <w:r w:rsidRPr="0014633D">
        <w:rPr>
          <w:b/>
          <w:sz w:val="22"/>
          <w:szCs w:val="22"/>
        </w:rPr>
        <w:t xml:space="preserve">I. Description of Course Content: </w:t>
      </w:r>
      <w:r w:rsidRPr="0014633D">
        <w:rPr>
          <w:sz w:val="22"/>
          <w:szCs w:val="22"/>
        </w:rPr>
        <w:t>This course is a second-year blended option in the HBSE</w:t>
      </w:r>
      <w:r w:rsidR="00AC4DB1" w:rsidRPr="0014633D">
        <w:rPr>
          <w:sz w:val="22"/>
          <w:szCs w:val="22"/>
        </w:rPr>
        <w:t xml:space="preserve">, Direct Practice </w:t>
      </w:r>
      <w:r w:rsidRPr="0014633D">
        <w:rPr>
          <w:sz w:val="22"/>
          <w:szCs w:val="22"/>
        </w:rPr>
        <w:t xml:space="preserve">sequences.  The focus of this course is on current advances in knowledge of the neurobiological underpinnings of human behavior and development, the interaction between those underpinnings and the social context and environment, the relevance to social work practice with individuals, families, groups, programs/organizations, and communities, and related assessment and intervention practice behaviors across several practice domains. The domains include </w:t>
      </w:r>
      <w:r w:rsidRPr="0014633D">
        <w:rPr>
          <w:rStyle w:val="cfplist1"/>
          <w:sz w:val="22"/>
          <w:szCs w:val="22"/>
        </w:rPr>
        <w:t>human development, genetics, mental health and substance abuse, cognition, stress and trauma, and violence and aggression.</w:t>
      </w:r>
      <w:r w:rsidRPr="0014633D">
        <w:rPr>
          <w:sz w:val="22"/>
          <w:szCs w:val="22"/>
        </w:rPr>
        <w:t xml:space="preserve"> The implications of neurobiological and environmental influences (including public health issues and health disparities) will be examined in terms of social justice, social work values, knowledge, and skills, as well as in terms of the structural and systematic arrangement and delivery of social welfare services at the micro, mezzo, and macro levels.</w:t>
      </w:r>
    </w:p>
    <w:p w:rsidR="00E65354" w:rsidRPr="0014633D" w:rsidRDefault="00E65354" w:rsidP="00E65354">
      <w:pPr>
        <w:rPr>
          <w:sz w:val="22"/>
          <w:szCs w:val="22"/>
        </w:rPr>
      </w:pPr>
    </w:p>
    <w:p w:rsidR="002D3F33" w:rsidRPr="0014633D" w:rsidRDefault="002D3F33" w:rsidP="002D3F33">
      <w:pPr>
        <w:rPr>
          <w:sz w:val="22"/>
          <w:szCs w:val="22"/>
        </w:rPr>
      </w:pPr>
      <w:r w:rsidRPr="0014633D">
        <w:rPr>
          <w:b/>
          <w:sz w:val="22"/>
          <w:szCs w:val="22"/>
        </w:rPr>
        <w:t xml:space="preserve">II. Competency-Based Performance Outcomes for Advanced Skills and Practice Behaviors:  </w:t>
      </w:r>
      <w:r w:rsidRPr="0014633D">
        <w:rPr>
          <w:sz w:val="22"/>
          <w:szCs w:val="22"/>
        </w:rPr>
        <w:t>Upon completion of this course, the participant will be able to:</w:t>
      </w:r>
    </w:p>
    <w:p w:rsidR="00E65354" w:rsidRPr="0014633D" w:rsidRDefault="00E65354" w:rsidP="00E65354">
      <w:pPr>
        <w:numPr>
          <w:ilvl w:val="0"/>
          <w:numId w:val="1"/>
        </w:numPr>
        <w:tabs>
          <w:tab w:val="clear" w:pos="720"/>
          <w:tab w:val="num" w:pos="900"/>
        </w:tabs>
        <w:ind w:left="900"/>
        <w:rPr>
          <w:sz w:val="22"/>
          <w:szCs w:val="22"/>
        </w:rPr>
      </w:pPr>
      <w:r w:rsidRPr="0014633D">
        <w:rPr>
          <w:sz w:val="22"/>
          <w:szCs w:val="22"/>
        </w:rPr>
        <w:t>Synthesize current knowledge on the parts of the human central nervous system and know their functions, so as to be able to read and interpret relevant new scientific information (such as that in news publications and in communications from primary care practitioners and specialists), and so to inform their practice behaviors and understanding of target behavior/social problems.</w:t>
      </w:r>
    </w:p>
    <w:p w:rsidR="00E65354" w:rsidRPr="0014633D" w:rsidRDefault="00E65354" w:rsidP="00E65354">
      <w:pPr>
        <w:numPr>
          <w:ilvl w:val="0"/>
          <w:numId w:val="1"/>
        </w:numPr>
        <w:tabs>
          <w:tab w:val="clear" w:pos="720"/>
          <w:tab w:val="num" w:pos="900"/>
        </w:tabs>
        <w:ind w:left="900"/>
        <w:rPr>
          <w:sz w:val="22"/>
          <w:szCs w:val="22"/>
        </w:rPr>
      </w:pPr>
      <w:r w:rsidRPr="0014633D">
        <w:rPr>
          <w:sz w:val="22"/>
          <w:szCs w:val="22"/>
        </w:rPr>
        <w:t>Distinguish among sources of knowledge to synthesize and apply appropriate neuroscientific information needed to make an intervention plan, design a program/delivery system, or develop a policy for at least two target populations.</w:t>
      </w:r>
    </w:p>
    <w:p w:rsidR="00E65354" w:rsidRPr="0014633D" w:rsidRDefault="00E65354" w:rsidP="00E65354">
      <w:pPr>
        <w:numPr>
          <w:ilvl w:val="0"/>
          <w:numId w:val="1"/>
        </w:numPr>
        <w:tabs>
          <w:tab w:val="clear" w:pos="720"/>
          <w:tab w:val="num" w:pos="900"/>
        </w:tabs>
        <w:ind w:left="900"/>
        <w:rPr>
          <w:sz w:val="22"/>
          <w:szCs w:val="22"/>
        </w:rPr>
      </w:pPr>
      <w:r w:rsidRPr="0014633D">
        <w:rPr>
          <w:sz w:val="22"/>
          <w:szCs w:val="22"/>
        </w:rPr>
        <w:t>Critique and propose modifications to an intervention plan, policy, delivery system, or program which does not utilize appropriate, up-to-date neuroscientific information as its foundation.</w:t>
      </w:r>
    </w:p>
    <w:p w:rsidR="00E65354" w:rsidRPr="0014633D" w:rsidRDefault="00E65354" w:rsidP="00E65354">
      <w:pPr>
        <w:numPr>
          <w:ilvl w:val="0"/>
          <w:numId w:val="1"/>
        </w:numPr>
        <w:tabs>
          <w:tab w:val="clear" w:pos="720"/>
          <w:tab w:val="num" w:pos="900"/>
        </w:tabs>
        <w:ind w:left="900"/>
        <w:rPr>
          <w:b/>
          <w:sz w:val="22"/>
          <w:szCs w:val="22"/>
        </w:rPr>
      </w:pPr>
      <w:r w:rsidRPr="0014633D">
        <w:rPr>
          <w:sz w:val="22"/>
          <w:szCs w:val="22"/>
        </w:rPr>
        <w:t>Enhance critical thinking about the interface between human biology/neuroscience and social work practice at the micro and macro levels, so that they can analyze the biological aspects of a practice problem, such as models of assessment, and consider it in making practice decisions.</w:t>
      </w:r>
    </w:p>
    <w:p w:rsidR="00E65354" w:rsidRPr="0014633D" w:rsidRDefault="00E65354" w:rsidP="00E65354">
      <w:pPr>
        <w:numPr>
          <w:ilvl w:val="0"/>
          <w:numId w:val="1"/>
        </w:numPr>
        <w:tabs>
          <w:tab w:val="clear" w:pos="720"/>
          <w:tab w:val="num" w:pos="900"/>
        </w:tabs>
        <w:ind w:left="900"/>
        <w:rPr>
          <w:sz w:val="22"/>
          <w:szCs w:val="22"/>
        </w:rPr>
      </w:pPr>
      <w:r w:rsidRPr="0014633D">
        <w:rPr>
          <w:sz w:val="22"/>
          <w:szCs w:val="22"/>
        </w:rPr>
        <w:t>Demonstrate the collection, organization, and interpretation of client biopsychosocial data within an assessment at the micro or macro level.</w:t>
      </w:r>
    </w:p>
    <w:p w:rsidR="00E65354" w:rsidRPr="0014633D" w:rsidRDefault="00E65354" w:rsidP="00E65354">
      <w:pPr>
        <w:numPr>
          <w:ilvl w:val="0"/>
          <w:numId w:val="1"/>
        </w:numPr>
        <w:tabs>
          <w:tab w:val="clear" w:pos="720"/>
          <w:tab w:val="num" w:pos="900"/>
        </w:tabs>
        <w:ind w:left="900"/>
        <w:rPr>
          <w:sz w:val="22"/>
          <w:szCs w:val="22"/>
        </w:rPr>
      </w:pPr>
      <w:r w:rsidRPr="0014633D">
        <w:rPr>
          <w:sz w:val="22"/>
          <w:szCs w:val="22"/>
        </w:rPr>
        <w:lastRenderedPageBreak/>
        <w:t>Demonstrate the synthesis and application of biopsychosocial data within an intervention plan at the micro or macro level.</w:t>
      </w:r>
    </w:p>
    <w:p w:rsidR="00E65354" w:rsidRPr="0014633D" w:rsidRDefault="00E65354" w:rsidP="00E65354">
      <w:pPr>
        <w:numPr>
          <w:ilvl w:val="0"/>
          <w:numId w:val="1"/>
        </w:numPr>
        <w:tabs>
          <w:tab w:val="clear" w:pos="720"/>
          <w:tab w:val="num" w:pos="900"/>
        </w:tabs>
        <w:ind w:left="900"/>
        <w:rPr>
          <w:sz w:val="22"/>
          <w:szCs w:val="22"/>
        </w:rPr>
      </w:pPr>
      <w:r w:rsidRPr="0014633D">
        <w:rPr>
          <w:sz w:val="22"/>
          <w:szCs w:val="22"/>
        </w:rPr>
        <w:t>Evaluate practice outcomes related to neurobiological and environmental interactions.</w:t>
      </w:r>
    </w:p>
    <w:p w:rsidR="00317283" w:rsidRPr="0014633D" w:rsidRDefault="00317283" w:rsidP="00317283">
      <w:pPr>
        <w:ind w:left="1080"/>
        <w:rPr>
          <w:sz w:val="22"/>
          <w:szCs w:val="22"/>
        </w:rPr>
      </w:pPr>
    </w:p>
    <w:p w:rsidR="00963151" w:rsidRDefault="00963151" w:rsidP="00963151">
      <w:pPr>
        <w:rPr>
          <w:b/>
          <w:sz w:val="22"/>
          <w:szCs w:val="22"/>
        </w:rPr>
      </w:pPr>
      <w:r w:rsidRPr="0014633D">
        <w:rPr>
          <w:b/>
          <w:sz w:val="22"/>
          <w:szCs w:val="22"/>
        </w:rPr>
        <w:t>III</w:t>
      </w:r>
      <w:r w:rsidR="008C35B8" w:rsidRPr="0014633D">
        <w:rPr>
          <w:b/>
          <w:sz w:val="22"/>
          <w:szCs w:val="22"/>
        </w:rPr>
        <w:t xml:space="preserve">. </w:t>
      </w:r>
      <w:r w:rsidR="0014633D">
        <w:rPr>
          <w:b/>
          <w:sz w:val="22"/>
          <w:szCs w:val="22"/>
        </w:rPr>
        <w:t xml:space="preserve"> </w:t>
      </w:r>
      <w:r w:rsidRPr="0014633D">
        <w:rPr>
          <w:b/>
          <w:sz w:val="22"/>
          <w:szCs w:val="22"/>
        </w:rPr>
        <w:t>Textbooks:</w:t>
      </w:r>
    </w:p>
    <w:p w:rsidR="0014633D" w:rsidRDefault="0014633D" w:rsidP="00963151">
      <w:pPr>
        <w:rPr>
          <w:b/>
          <w:sz w:val="22"/>
          <w:szCs w:val="22"/>
        </w:rPr>
      </w:pPr>
    </w:p>
    <w:p w:rsidR="0014633D" w:rsidRPr="0014633D" w:rsidRDefault="0014633D" w:rsidP="00963151">
      <w:pPr>
        <w:rPr>
          <w:i/>
          <w:sz w:val="22"/>
          <w:szCs w:val="22"/>
        </w:rPr>
      </w:pPr>
      <w:r>
        <w:rPr>
          <w:b/>
          <w:i/>
          <w:sz w:val="22"/>
          <w:szCs w:val="22"/>
        </w:rPr>
        <w:t>Required:</w:t>
      </w:r>
    </w:p>
    <w:p w:rsidR="00DE0FA5" w:rsidRPr="0014633D" w:rsidRDefault="00DE0FA5" w:rsidP="00963151">
      <w:pPr>
        <w:rPr>
          <w:b/>
          <w:sz w:val="22"/>
          <w:szCs w:val="22"/>
        </w:rPr>
      </w:pPr>
      <w:r w:rsidRPr="0014633D">
        <w:rPr>
          <w:b/>
          <w:sz w:val="22"/>
          <w:szCs w:val="22"/>
        </w:rPr>
        <w:t xml:space="preserve"> </w:t>
      </w:r>
    </w:p>
    <w:p w:rsidR="00DE0FA5" w:rsidRPr="0014633D" w:rsidRDefault="000B2A04" w:rsidP="0014633D">
      <w:pPr>
        <w:ind w:left="720" w:hanging="720"/>
        <w:rPr>
          <w:sz w:val="22"/>
          <w:szCs w:val="22"/>
        </w:rPr>
      </w:pPr>
      <w:r w:rsidRPr="0014633D">
        <w:rPr>
          <w:sz w:val="22"/>
          <w:szCs w:val="22"/>
        </w:rPr>
        <w:t xml:space="preserve">American Psychological Association (2010).  </w:t>
      </w:r>
      <w:r w:rsidRPr="0014633D">
        <w:rPr>
          <w:i/>
          <w:sz w:val="22"/>
          <w:szCs w:val="22"/>
        </w:rPr>
        <w:t xml:space="preserve">Publication manual of the American Psychological Association </w:t>
      </w:r>
      <w:r w:rsidRPr="0014633D">
        <w:rPr>
          <w:sz w:val="22"/>
          <w:szCs w:val="22"/>
        </w:rPr>
        <w:t>(6</w:t>
      </w:r>
      <w:r w:rsidRPr="0014633D">
        <w:rPr>
          <w:sz w:val="22"/>
          <w:szCs w:val="22"/>
          <w:vertAlign w:val="superscript"/>
        </w:rPr>
        <w:t>th</w:t>
      </w:r>
      <w:r w:rsidRPr="0014633D">
        <w:rPr>
          <w:sz w:val="22"/>
          <w:szCs w:val="22"/>
        </w:rPr>
        <w:t xml:space="preserve"> ed.)</w:t>
      </w:r>
      <w:r w:rsidRPr="0014633D">
        <w:rPr>
          <w:i/>
          <w:sz w:val="22"/>
          <w:szCs w:val="22"/>
        </w:rPr>
        <w:t xml:space="preserve">.  </w:t>
      </w:r>
      <w:r w:rsidR="00DE0FA5" w:rsidRPr="0014633D">
        <w:rPr>
          <w:sz w:val="22"/>
          <w:szCs w:val="22"/>
        </w:rPr>
        <w:t>Washington, D.C.: American Psychological Association.</w:t>
      </w:r>
    </w:p>
    <w:p w:rsidR="002D3F33" w:rsidRPr="0014633D" w:rsidRDefault="002D3F33" w:rsidP="000B2A04">
      <w:pPr>
        <w:ind w:left="180"/>
        <w:rPr>
          <w:sz w:val="22"/>
          <w:szCs w:val="22"/>
        </w:rPr>
      </w:pPr>
    </w:p>
    <w:p w:rsidR="002D3F33" w:rsidRPr="0014633D" w:rsidRDefault="002D3F33" w:rsidP="0014633D">
      <w:pPr>
        <w:ind w:left="720" w:hanging="720"/>
        <w:rPr>
          <w:sz w:val="22"/>
          <w:szCs w:val="22"/>
        </w:rPr>
      </w:pPr>
      <w:r w:rsidRPr="0014633D">
        <w:rPr>
          <w:sz w:val="22"/>
          <w:szCs w:val="22"/>
        </w:rPr>
        <w:t xml:space="preserve">Bremner, J.D. (2005).  </w:t>
      </w:r>
      <w:r w:rsidRPr="0014633D">
        <w:rPr>
          <w:i/>
          <w:sz w:val="22"/>
          <w:szCs w:val="22"/>
        </w:rPr>
        <w:t xml:space="preserve">The Brain Imaging Handbook. </w:t>
      </w:r>
      <w:r w:rsidR="000807D7" w:rsidRPr="0014633D">
        <w:rPr>
          <w:sz w:val="22"/>
          <w:szCs w:val="22"/>
        </w:rPr>
        <w:t>New York: W.W. Norton</w:t>
      </w:r>
      <w:r w:rsidR="0014633D">
        <w:rPr>
          <w:sz w:val="22"/>
          <w:szCs w:val="22"/>
        </w:rPr>
        <w:t xml:space="preserve"> </w:t>
      </w:r>
      <w:r w:rsidRPr="0014633D">
        <w:rPr>
          <w:sz w:val="22"/>
          <w:szCs w:val="22"/>
        </w:rPr>
        <w:t>&amp;</w:t>
      </w:r>
      <w:r w:rsidR="000807D7" w:rsidRPr="0014633D">
        <w:rPr>
          <w:sz w:val="22"/>
          <w:szCs w:val="22"/>
        </w:rPr>
        <w:t xml:space="preserve"> </w:t>
      </w:r>
      <w:r w:rsidRPr="0014633D">
        <w:rPr>
          <w:sz w:val="22"/>
          <w:szCs w:val="22"/>
        </w:rPr>
        <w:t>Company, Inc.</w:t>
      </w:r>
    </w:p>
    <w:p w:rsidR="002D3F33" w:rsidRPr="0014633D" w:rsidRDefault="002D3F33" w:rsidP="0014633D">
      <w:pPr>
        <w:rPr>
          <w:sz w:val="22"/>
          <w:szCs w:val="22"/>
        </w:rPr>
      </w:pPr>
    </w:p>
    <w:p w:rsidR="00182366" w:rsidRPr="0014633D" w:rsidRDefault="00182366" w:rsidP="0014633D">
      <w:pPr>
        <w:pStyle w:val="ReferenceFinal"/>
        <w:tabs>
          <w:tab w:val="clear" w:pos="432"/>
          <w:tab w:val="clear" w:pos="576"/>
        </w:tabs>
        <w:spacing w:line="240" w:lineRule="auto"/>
        <w:rPr>
          <w:rFonts w:ascii="Times New Roman" w:hAnsi="Times New Roman"/>
          <w:sz w:val="22"/>
          <w:szCs w:val="22"/>
        </w:rPr>
      </w:pPr>
      <w:r w:rsidRPr="0014633D">
        <w:rPr>
          <w:rFonts w:ascii="Times New Roman" w:hAnsi="Times New Roman"/>
          <w:sz w:val="22"/>
          <w:szCs w:val="22"/>
        </w:rPr>
        <w:t xml:space="preserve">Johnson, H. C. (2004). </w:t>
      </w:r>
      <w:r w:rsidRPr="0014633D">
        <w:rPr>
          <w:rFonts w:ascii="Times New Roman" w:hAnsi="Times New Roman"/>
          <w:i/>
          <w:sz w:val="22"/>
          <w:szCs w:val="22"/>
        </w:rPr>
        <w:t>Psyche, synapse, and substance: the role of</w:t>
      </w:r>
      <w:r w:rsidR="0029405F" w:rsidRPr="0014633D">
        <w:rPr>
          <w:rFonts w:ascii="Times New Roman" w:hAnsi="Times New Roman"/>
          <w:sz w:val="22"/>
          <w:szCs w:val="22"/>
        </w:rPr>
        <w:t xml:space="preserve">  </w:t>
      </w:r>
      <w:r w:rsidRPr="0014633D">
        <w:rPr>
          <w:rFonts w:ascii="Times New Roman" w:hAnsi="Times New Roman"/>
          <w:i/>
          <w:sz w:val="22"/>
          <w:szCs w:val="22"/>
        </w:rPr>
        <w:t xml:space="preserve"> neurobiology in emotions, behavior, thinking, and addiction for non-scientists </w:t>
      </w:r>
      <w:r w:rsidR="0029405F" w:rsidRPr="0014633D">
        <w:rPr>
          <w:rFonts w:ascii="Times New Roman" w:hAnsi="Times New Roman"/>
          <w:i/>
          <w:sz w:val="22"/>
          <w:szCs w:val="22"/>
        </w:rPr>
        <w:t xml:space="preserve"> </w:t>
      </w:r>
      <w:r w:rsidRPr="0014633D">
        <w:rPr>
          <w:rFonts w:ascii="Times New Roman" w:hAnsi="Times New Roman"/>
          <w:sz w:val="22"/>
          <w:szCs w:val="22"/>
        </w:rPr>
        <w:t>(2</w:t>
      </w:r>
      <w:r w:rsidRPr="0014633D">
        <w:rPr>
          <w:rFonts w:ascii="Times New Roman" w:hAnsi="Times New Roman"/>
          <w:sz w:val="22"/>
          <w:szCs w:val="22"/>
          <w:vertAlign w:val="superscript"/>
        </w:rPr>
        <w:t>nd</w:t>
      </w:r>
      <w:r w:rsidRPr="0014633D">
        <w:rPr>
          <w:rFonts w:ascii="Times New Roman" w:hAnsi="Times New Roman"/>
          <w:sz w:val="22"/>
          <w:szCs w:val="22"/>
        </w:rPr>
        <w:t xml:space="preserve"> Ed.)</w:t>
      </w:r>
      <w:r w:rsidRPr="0014633D">
        <w:rPr>
          <w:rFonts w:ascii="Times New Roman" w:hAnsi="Times New Roman"/>
          <w:i/>
          <w:sz w:val="22"/>
          <w:szCs w:val="22"/>
        </w:rPr>
        <w:t>.</w:t>
      </w:r>
      <w:r w:rsidRPr="0014633D">
        <w:rPr>
          <w:rFonts w:ascii="Times New Roman" w:hAnsi="Times New Roman"/>
          <w:sz w:val="22"/>
          <w:szCs w:val="22"/>
        </w:rPr>
        <w:t xml:space="preserve"> Greenfield, </w:t>
      </w:r>
      <w:r w:rsidR="00534FD3" w:rsidRPr="0014633D">
        <w:rPr>
          <w:rFonts w:ascii="Times New Roman" w:hAnsi="Times New Roman"/>
          <w:sz w:val="22"/>
          <w:szCs w:val="22"/>
        </w:rPr>
        <w:t>MA:</w:t>
      </w:r>
      <w:r w:rsidRPr="0014633D">
        <w:rPr>
          <w:rFonts w:ascii="Times New Roman" w:hAnsi="Times New Roman"/>
          <w:sz w:val="22"/>
          <w:szCs w:val="22"/>
        </w:rPr>
        <w:t xml:space="preserve"> Deerfield Valley Publishing. </w:t>
      </w:r>
    </w:p>
    <w:p w:rsidR="00DE0FA5" w:rsidRPr="0014633D" w:rsidRDefault="00DE0FA5" w:rsidP="0014633D">
      <w:pPr>
        <w:pStyle w:val="NoSpacing"/>
      </w:pPr>
    </w:p>
    <w:p w:rsidR="0014633D" w:rsidRPr="0014633D" w:rsidRDefault="0014633D" w:rsidP="0014633D">
      <w:pPr>
        <w:rPr>
          <w:b/>
          <w:i/>
          <w:sz w:val="22"/>
          <w:szCs w:val="22"/>
        </w:rPr>
      </w:pPr>
      <w:r w:rsidRPr="0014633D">
        <w:rPr>
          <w:b/>
          <w:i/>
          <w:sz w:val="22"/>
          <w:szCs w:val="22"/>
        </w:rPr>
        <w:t xml:space="preserve">Highly </w:t>
      </w:r>
      <w:r w:rsidR="00820979" w:rsidRPr="0014633D">
        <w:rPr>
          <w:b/>
          <w:i/>
          <w:sz w:val="22"/>
          <w:szCs w:val="22"/>
        </w:rPr>
        <w:t>Recommended</w:t>
      </w:r>
      <w:r w:rsidRPr="0014633D">
        <w:rPr>
          <w:b/>
          <w:i/>
          <w:sz w:val="22"/>
          <w:szCs w:val="22"/>
        </w:rPr>
        <w:t>:</w:t>
      </w:r>
    </w:p>
    <w:p w:rsidR="0014633D" w:rsidRDefault="0014633D" w:rsidP="0014633D">
      <w:pPr>
        <w:rPr>
          <w:sz w:val="22"/>
          <w:szCs w:val="22"/>
        </w:rPr>
      </w:pPr>
    </w:p>
    <w:p w:rsidR="008E351B" w:rsidRPr="008E351B" w:rsidRDefault="008E351B" w:rsidP="008E351B">
      <w:pPr>
        <w:ind w:left="720" w:hanging="720"/>
        <w:rPr>
          <w:sz w:val="22"/>
          <w:szCs w:val="22"/>
        </w:rPr>
      </w:pPr>
      <w:r>
        <w:rPr>
          <w:sz w:val="22"/>
          <w:szCs w:val="22"/>
        </w:rPr>
        <w:t xml:space="preserve">Applegate, J.S. and Shapiro, J.R.  (2005).  </w:t>
      </w:r>
      <w:r>
        <w:rPr>
          <w:i/>
          <w:sz w:val="22"/>
          <w:szCs w:val="22"/>
        </w:rPr>
        <w:t>Neurobiology for clinical social work: Theory and practice.</w:t>
      </w:r>
      <w:r>
        <w:rPr>
          <w:sz w:val="22"/>
          <w:szCs w:val="22"/>
        </w:rPr>
        <w:t xml:space="preserve">  New York:  Norton.</w:t>
      </w:r>
    </w:p>
    <w:p w:rsidR="008E351B" w:rsidRDefault="008E351B" w:rsidP="008E351B">
      <w:pPr>
        <w:ind w:left="720" w:hanging="720"/>
        <w:rPr>
          <w:sz w:val="22"/>
          <w:szCs w:val="22"/>
        </w:rPr>
      </w:pPr>
    </w:p>
    <w:p w:rsidR="0014633D" w:rsidRDefault="0014633D" w:rsidP="008E351B">
      <w:pPr>
        <w:ind w:left="720" w:hanging="720"/>
        <w:rPr>
          <w:sz w:val="22"/>
          <w:szCs w:val="22"/>
        </w:rPr>
      </w:pPr>
      <w:r>
        <w:rPr>
          <w:sz w:val="22"/>
          <w:szCs w:val="22"/>
        </w:rPr>
        <w:t xml:space="preserve">Carlson, N. R.  (2013).  </w:t>
      </w:r>
      <w:r w:rsidR="008E351B">
        <w:rPr>
          <w:i/>
          <w:sz w:val="22"/>
          <w:szCs w:val="22"/>
        </w:rPr>
        <w:t>Physiology of behavior.</w:t>
      </w:r>
      <w:r w:rsidR="008E351B">
        <w:rPr>
          <w:sz w:val="22"/>
          <w:szCs w:val="22"/>
        </w:rPr>
        <w:t xml:space="preserve">  (11</w:t>
      </w:r>
      <w:r w:rsidR="008E351B" w:rsidRPr="008E351B">
        <w:rPr>
          <w:sz w:val="22"/>
          <w:szCs w:val="22"/>
          <w:vertAlign w:val="superscript"/>
        </w:rPr>
        <w:t>th</w:t>
      </w:r>
      <w:r w:rsidR="008E351B">
        <w:rPr>
          <w:sz w:val="22"/>
          <w:szCs w:val="22"/>
        </w:rPr>
        <w:t xml:space="preserve"> edition).  Upper Saddle River, NJ:  Pearson Publishing.</w:t>
      </w:r>
    </w:p>
    <w:p w:rsidR="008E351B" w:rsidRDefault="008E351B" w:rsidP="008E351B">
      <w:pPr>
        <w:ind w:left="720" w:hanging="720"/>
        <w:rPr>
          <w:sz w:val="22"/>
          <w:szCs w:val="22"/>
        </w:rPr>
      </w:pPr>
    </w:p>
    <w:p w:rsidR="008E351B" w:rsidRPr="008E351B" w:rsidRDefault="008E351B" w:rsidP="008E351B">
      <w:pPr>
        <w:ind w:left="720" w:hanging="720"/>
        <w:rPr>
          <w:sz w:val="22"/>
          <w:szCs w:val="22"/>
        </w:rPr>
      </w:pPr>
      <w:r>
        <w:rPr>
          <w:sz w:val="22"/>
          <w:szCs w:val="22"/>
        </w:rPr>
        <w:t xml:space="preserve">Donders, J. and Hunter, S.J.  (eds.).  (2010).  </w:t>
      </w:r>
      <w:r>
        <w:rPr>
          <w:i/>
          <w:sz w:val="22"/>
          <w:szCs w:val="22"/>
        </w:rPr>
        <w:t>Principles and practice of lifespan developmental neuropsychology.</w:t>
      </w:r>
      <w:r>
        <w:rPr>
          <w:sz w:val="22"/>
          <w:szCs w:val="22"/>
        </w:rPr>
        <w:t xml:space="preserve">  Cambridge, UK:  Cambridge University Press.</w:t>
      </w:r>
    </w:p>
    <w:p w:rsidR="008E351B" w:rsidRDefault="008E351B" w:rsidP="008E351B">
      <w:pPr>
        <w:ind w:left="720" w:hanging="720"/>
        <w:rPr>
          <w:sz w:val="22"/>
          <w:szCs w:val="22"/>
        </w:rPr>
      </w:pPr>
    </w:p>
    <w:p w:rsidR="008E351B" w:rsidRDefault="008E351B" w:rsidP="008E351B">
      <w:pPr>
        <w:ind w:left="720" w:hanging="720"/>
        <w:rPr>
          <w:sz w:val="22"/>
          <w:szCs w:val="22"/>
        </w:rPr>
      </w:pPr>
      <w:r>
        <w:rPr>
          <w:sz w:val="22"/>
          <w:szCs w:val="22"/>
        </w:rPr>
        <w:t xml:space="preserve">Farmer R.L.  (2009).  </w:t>
      </w:r>
      <w:r>
        <w:rPr>
          <w:i/>
          <w:sz w:val="22"/>
          <w:szCs w:val="22"/>
        </w:rPr>
        <w:t>Neuroscience and social work practice.</w:t>
      </w:r>
      <w:r>
        <w:rPr>
          <w:sz w:val="22"/>
          <w:szCs w:val="22"/>
        </w:rPr>
        <w:t xml:space="preserve">  Thousand Oaks, CA:  Sage.</w:t>
      </w:r>
    </w:p>
    <w:p w:rsidR="008E351B" w:rsidRDefault="008E351B" w:rsidP="008E351B">
      <w:pPr>
        <w:ind w:left="720" w:hanging="720"/>
        <w:rPr>
          <w:sz w:val="22"/>
          <w:szCs w:val="22"/>
        </w:rPr>
      </w:pPr>
    </w:p>
    <w:p w:rsidR="008E351B" w:rsidRPr="00AC172B" w:rsidRDefault="008E351B" w:rsidP="008E351B">
      <w:pPr>
        <w:ind w:left="720" w:hanging="720"/>
        <w:rPr>
          <w:sz w:val="22"/>
          <w:szCs w:val="22"/>
        </w:rPr>
      </w:pPr>
      <w:r>
        <w:rPr>
          <w:sz w:val="22"/>
          <w:szCs w:val="22"/>
        </w:rPr>
        <w:t xml:space="preserve">Kolb, B. and </w:t>
      </w:r>
      <w:r w:rsidR="00AC172B">
        <w:rPr>
          <w:sz w:val="22"/>
          <w:szCs w:val="22"/>
        </w:rPr>
        <w:t xml:space="preserve">Whishaw, I.O.  (2012).  </w:t>
      </w:r>
      <w:r w:rsidR="00AC172B">
        <w:rPr>
          <w:i/>
          <w:sz w:val="22"/>
          <w:szCs w:val="22"/>
        </w:rPr>
        <w:t xml:space="preserve">An introduction to brain and behavior, </w:t>
      </w:r>
      <w:r w:rsidR="00AC172B">
        <w:rPr>
          <w:sz w:val="22"/>
          <w:szCs w:val="22"/>
        </w:rPr>
        <w:t>(4</w:t>
      </w:r>
      <w:r w:rsidR="00AC172B" w:rsidRPr="00AC172B">
        <w:rPr>
          <w:sz w:val="22"/>
          <w:szCs w:val="22"/>
          <w:vertAlign w:val="superscript"/>
        </w:rPr>
        <w:t>th</w:t>
      </w:r>
      <w:r w:rsidR="00AC172B">
        <w:rPr>
          <w:sz w:val="22"/>
          <w:szCs w:val="22"/>
        </w:rPr>
        <w:t xml:space="preserve"> edition).  New York:  Worth Publishers.</w:t>
      </w:r>
    </w:p>
    <w:p w:rsidR="00AC172B" w:rsidRDefault="00AC172B" w:rsidP="00963151">
      <w:pPr>
        <w:rPr>
          <w:b/>
          <w:sz w:val="22"/>
          <w:szCs w:val="22"/>
        </w:rPr>
      </w:pPr>
    </w:p>
    <w:p w:rsidR="00DE0FA5" w:rsidRPr="0014633D" w:rsidRDefault="00DE0FA5" w:rsidP="00963151">
      <w:pPr>
        <w:rPr>
          <w:i/>
          <w:sz w:val="22"/>
          <w:szCs w:val="22"/>
        </w:rPr>
      </w:pPr>
      <w:r w:rsidRPr="0014633D">
        <w:rPr>
          <w:b/>
          <w:sz w:val="22"/>
          <w:szCs w:val="22"/>
        </w:rPr>
        <w:t>I</w:t>
      </w:r>
      <w:r w:rsidR="00963151" w:rsidRPr="0014633D">
        <w:rPr>
          <w:b/>
          <w:sz w:val="22"/>
          <w:szCs w:val="22"/>
        </w:rPr>
        <w:t>V. Course Outline/Topics and Readings.</w:t>
      </w:r>
      <w:r w:rsidR="002D7F76" w:rsidRPr="0014633D">
        <w:rPr>
          <w:b/>
          <w:sz w:val="22"/>
          <w:szCs w:val="22"/>
        </w:rPr>
        <w:t xml:space="preserve"> </w:t>
      </w:r>
      <w:r w:rsidR="002D7F76" w:rsidRPr="0014633D">
        <w:rPr>
          <w:i/>
          <w:sz w:val="22"/>
          <w:szCs w:val="22"/>
        </w:rPr>
        <w:t xml:space="preserve">As the instructor for this course, I reserve the right to adjust this schedule in any way that serves the educational needs of the students enrolled in this course. – </w:t>
      </w:r>
      <w:r w:rsidR="00AC172B">
        <w:rPr>
          <w:i/>
          <w:sz w:val="22"/>
          <w:szCs w:val="22"/>
        </w:rPr>
        <w:t>Bruce L. Bower</w:t>
      </w:r>
      <w:r w:rsidR="002D7F76" w:rsidRPr="0014633D">
        <w:rPr>
          <w:i/>
          <w:sz w:val="22"/>
          <w:szCs w:val="22"/>
        </w:rPr>
        <w:t>.</w:t>
      </w:r>
    </w:p>
    <w:p w:rsidR="002D7F76" w:rsidRPr="0014633D" w:rsidRDefault="002D7F76" w:rsidP="00963151">
      <w:pPr>
        <w:rPr>
          <w:b/>
          <w:sz w:val="22"/>
          <w:szCs w:val="22"/>
        </w:rPr>
      </w:pPr>
    </w:p>
    <w:p w:rsidR="00AC172B" w:rsidRDefault="00AC172B" w:rsidP="0086480E">
      <w:pPr>
        <w:rPr>
          <w:sz w:val="22"/>
          <w:szCs w:val="22"/>
        </w:rPr>
      </w:pPr>
      <w:r>
        <w:rPr>
          <w:b/>
          <w:sz w:val="22"/>
          <w:szCs w:val="22"/>
          <w:u w:val="single"/>
        </w:rPr>
        <w:t>Date</w:t>
      </w:r>
      <w:r>
        <w:rPr>
          <w:sz w:val="22"/>
          <w:szCs w:val="22"/>
        </w:rPr>
        <w:tab/>
      </w:r>
      <w:r>
        <w:rPr>
          <w:sz w:val="22"/>
          <w:szCs w:val="22"/>
        </w:rPr>
        <w:tab/>
      </w:r>
      <w:r>
        <w:rPr>
          <w:sz w:val="22"/>
          <w:szCs w:val="22"/>
        </w:rPr>
        <w:tab/>
      </w:r>
      <w:r>
        <w:rPr>
          <w:sz w:val="22"/>
          <w:szCs w:val="22"/>
        </w:rPr>
        <w:tab/>
      </w:r>
      <w:r w:rsidRPr="00AC172B">
        <w:rPr>
          <w:b/>
          <w:sz w:val="22"/>
          <w:szCs w:val="22"/>
          <w:u w:val="single"/>
        </w:rPr>
        <w:t>Topic(s)</w:t>
      </w:r>
      <w:r>
        <w:rPr>
          <w:sz w:val="22"/>
          <w:szCs w:val="22"/>
        </w:rPr>
        <w:tab/>
      </w:r>
      <w:r>
        <w:rPr>
          <w:sz w:val="22"/>
          <w:szCs w:val="22"/>
        </w:rPr>
        <w:tab/>
      </w:r>
      <w:r>
        <w:rPr>
          <w:sz w:val="22"/>
          <w:szCs w:val="22"/>
        </w:rPr>
        <w:tab/>
      </w:r>
      <w:r>
        <w:rPr>
          <w:sz w:val="22"/>
          <w:szCs w:val="22"/>
        </w:rPr>
        <w:tab/>
      </w:r>
      <w:r w:rsidR="00133268">
        <w:rPr>
          <w:sz w:val="22"/>
          <w:szCs w:val="22"/>
        </w:rPr>
        <w:tab/>
      </w:r>
      <w:r w:rsidRPr="00AC172B">
        <w:rPr>
          <w:b/>
          <w:sz w:val="22"/>
          <w:szCs w:val="22"/>
          <w:u w:val="single"/>
        </w:rPr>
        <w:t>Readings</w:t>
      </w:r>
    </w:p>
    <w:p w:rsidR="00AC172B" w:rsidRDefault="00AC172B" w:rsidP="0086480E">
      <w:pPr>
        <w:rPr>
          <w:sz w:val="22"/>
          <w:szCs w:val="22"/>
        </w:rPr>
      </w:pPr>
    </w:p>
    <w:p w:rsidR="00AC172B" w:rsidRDefault="00AC172B" w:rsidP="0086480E">
      <w:pPr>
        <w:rPr>
          <w:sz w:val="22"/>
          <w:szCs w:val="22"/>
        </w:rPr>
      </w:pPr>
      <w:r>
        <w:rPr>
          <w:sz w:val="22"/>
          <w:szCs w:val="22"/>
        </w:rPr>
        <w:t>Jan. 15</w:t>
      </w:r>
      <w:r>
        <w:rPr>
          <w:sz w:val="22"/>
          <w:szCs w:val="22"/>
        </w:rPr>
        <w:tab/>
      </w:r>
      <w:r>
        <w:rPr>
          <w:sz w:val="22"/>
          <w:szCs w:val="22"/>
        </w:rPr>
        <w:tab/>
      </w:r>
      <w:r>
        <w:rPr>
          <w:sz w:val="22"/>
          <w:szCs w:val="22"/>
        </w:rPr>
        <w:tab/>
      </w:r>
      <w:r>
        <w:rPr>
          <w:sz w:val="22"/>
          <w:szCs w:val="22"/>
        </w:rPr>
        <w:tab/>
        <w:t>Introductions</w:t>
      </w:r>
      <w:r>
        <w:rPr>
          <w:sz w:val="22"/>
          <w:szCs w:val="22"/>
        </w:rPr>
        <w:tab/>
      </w:r>
      <w:r>
        <w:rPr>
          <w:sz w:val="22"/>
          <w:szCs w:val="22"/>
        </w:rPr>
        <w:tab/>
      </w:r>
      <w:r>
        <w:rPr>
          <w:sz w:val="22"/>
          <w:szCs w:val="22"/>
        </w:rPr>
        <w:tab/>
      </w:r>
      <w:r>
        <w:rPr>
          <w:sz w:val="22"/>
          <w:szCs w:val="22"/>
        </w:rPr>
        <w:tab/>
      </w:r>
      <w:r w:rsidR="00133268">
        <w:rPr>
          <w:sz w:val="22"/>
          <w:szCs w:val="22"/>
        </w:rPr>
        <w:tab/>
      </w:r>
      <w:r w:rsidR="00E47920">
        <w:rPr>
          <w:sz w:val="22"/>
          <w:szCs w:val="22"/>
        </w:rPr>
        <w:t>Johnson, Part I</w:t>
      </w:r>
    </w:p>
    <w:p w:rsidR="00AC172B" w:rsidRDefault="00AC172B" w:rsidP="0086480E">
      <w:pPr>
        <w:rPr>
          <w:sz w:val="22"/>
          <w:szCs w:val="22"/>
        </w:rPr>
      </w:pPr>
    </w:p>
    <w:p w:rsidR="00AC172B" w:rsidRDefault="00AC172B" w:rsidP="0086480E">
      <w:pPr>
        <w:rPr>
          <w:sz w:val="22"/>
          <w:szCs w:val="22"/>
        </w:rPr>
      </w:pPr>
      <w:r>
        <w:rPr>
          <w:sz w:val="22"/>
          <w:szCs w:val="22"/>
        </w:rPr>
        <w:t>Jan.</w:t>
      </w:r>
      <w:r w:rsidR="00133268">
        <w:rPr>
          <w:sz w:val="22"/>
          <w:szCs w:val="22"/>
        </w:rPr>
        <w:t xml:space="preserve"> 22</w:t>
      </w:r>
      <w:r>
        <w:rPr>
          <w:sz w:val="22"/>
          <w:szCs w:val="22"/>
        </w:rPr>
        <w:tab/>
      </w:r>
      <w:r>
        <w:rPr>
          <w:sz w:val="22"/>
          <w:szCs w:val="22"/>
        </w:rPr>
        <w:tab/>
      </w:r>
      <w:r>
        <w:rPr>
          <w:sz w:val="22"/>
          <w:szCs w:val="22"/>
        </w:rPr>
        <w:tab/>
      </w:r>
      <w:r>
        <w:rPr>
          <w:sz w:val="22"/>
          <w:szCs w:val="22"/>
        </w:rPr>
        <w:tab/>
        <w:t>Presuppositions and</w:t>
      </w:r>
      <w:r w:rsidR="00E47920">
        <w:rPr>
          <w:sz w:val="22"/>
          <w:szCs w:val="22"/>
        </w:rPr>
        <w:tab/>
      </w:r>
      <w:r w:rsidR="00E47920">
        <w:rPr>
          <w:sz w:val="22"/>
          <w:szCs w:val="22"/>
        </w:rPr>
        <w:tab/>
      </w:r>
      <w:r w:rsidR="00E47920">
        <w:rPr>
          <w:sz w:val="22"/>
          <w:szCs w:val="22"/>
        </w:rPr>
        <w:tab/>
      </w:r>
      <w:r w:rsidR="00E47920">
        <w:rPr>
          <w:sz w:val="22"/>
          <w:szCs w:val="22"/>
        </w:rPr>
        <w:tab/>
        <w:t>Johnson, Part II</w:t>
      </w:r>
    </w:p>
    <w:p w:rsidR="00AC172B" w:rsidRDefault="00AC172B" w:rsidP="0086480E">
      <w:pPr>
        <w:rPr>
          <w:sz w:val="22"/>
          <w:szCs w:val="22"/>
        </w:rPr>
      </w:pPr>
      <w:r>
        <w:rPr>
          <w:sz w:val="22"/>
          <w:szCs w:val="22"/>
        </w:rPr>
        <w:tab/>
      </w:r>
      <w:r>
        <w:rPr>
          <w:sz w:val="22"/>
          <w:szCs w:val="22"/>
        </w:rPr>
        <w:tab/>
      </w:r>
      <w:r>
        <w:rPr>
          <w:sz w:val="22"/>
          <w:szCs w:val="22"/>
        </w:rPr>
        <w:tab/>
      </w:r>
      <w:r>
        <w:rPr>
          <w:sz w:val="22"/>
          <w:szCs w:val="22"/>
        </w:rPr>
        <w:tab/>
        <w:t>Foundations</w:t>
      </w:r>
      <w:r w:rsidR="00E47920">
        <w:rPr>
          <w:sz w:val="22"/>
          <w:szCs w:val="22"/>
        </w:rPr>
        <w:tab/>
      </w:r>
      <w:r w:rsidR="00E47920">
        <w:rPr>
          <w:sz w:val="22"/>
          <w:szCs w:val="22"/>
        </w:rPr>
        <w:tab/>
      </w:r>
      <w:r w:rsidR="00E47920">
        <w:rPr>
          <w:sz w:val="22"/>
          <w:szCs w:val="22"/>
        </w:rPr>
        <w:tab/>
      </w:r>
      <w:r w:rsidR="00E47920">
        <w:rPr>
          <w:sz w:val="22"/>
          <w:szCs w:val="22"/>
        </w:rPr>
        <w:tab/>
      </w:r>
      <w:r w:rsidR="00E47920">
        <w:rPr>
          <w:sz w:val="22"/>
          <w:szCs w:val="22"/>
        </w:rPr>
        <w:tab/>
        <w:t>Bremner, Ch. 1</w:t>
      </w:r>
    </w:p>
    <w:p w:rsidR="00AC172B" w:rsidRDefault="00AC172B" w:rsidP="0086480E">
      <w:pPr>
        <w:rPr>
          <w:sz w:val="22"/>
          <w:szCs w:val="22"/>
        </w:rPr>
      </w:pPr>
    </w:p>
    <w:p w:rsidR="00A96D1E" w:rsidRDefault="00AC172B" w:rsidP="0086480E">
      <w:pPr>
        <w:rPr>
          <w:sz w:val="22"/>
          <w:szCs w:val="22"/>
        </w:rPr>
      </w:pPr>
      <w:r>
        <w:rPr>
          <w:sz w:val="22"/>
          <w:szCs w:val="22"/>
        </w:rPr>
        <w:t>Jan. 29 &amp; Feb. 05</w:t>
      </w:r>
      <w:r>
        <w:rPr>
          <w:sz w:val="22"/>
          <w:szCs w:val="22"/>
        </w:rPr>
        <w:tab/>
      </w:r>
      <w:r>
        <w:rPr>
          <w:sz w:val="22"/>
          <w:szCs w:val="22"/>
        </w:rPr>
        <w:tab/>
        <w:t>Domain #1 – Human</w:t>
      </w:r>
      <w:r w:rsidR="00E47920">
        <w:rPr>
          <w:sz w:val="22"/>
          <w:szCs w:val="22"/>
        </w:rPr>
        <w:tab/>
      </w:r>
      <w:r w:rsidR="00E47920">
        <w:rPr>
          <w:sz w:val="22"/>
          <w:szCs w:val="22"/>
        </w:rPr>
        <w:tab/>
      </w:r>
      <w:r w:rsidR="00E47920">
        <w:rPr>
          <w:sz w:val="22"/>
          <w:szCs w:val="22"/>
        </w:rPr>
        <w:tab/>
      </w:r>
      <w:r w:rsidR="00E47920">
        <w:rPr>
          <w:sz w:val="22"/>
          <w:szCs w:val="22"/>
        </w:rPr>
        <w:tab/>
        <w:t>Johnson, Part III</w:t>
      </w:r>
    </w:p>
    <w:p w:rsidR="00AC172B" w:rsidRDefault="00A96D1E" w:rsidP="00A96D1E">
      <w:pPr>
        <w:ind w:left="2160" w:firstLine="720"/>
        <w:rPr>
          <w:sz w:val="22"/>
          <w:szCs w:val="22"/>
        </w:rPr>
      </w:pPr>
      <w:r>
        <w:rPr>
          <w:sz w:val="22"/>
          <w:szCs w:val="22"/>
        </w:rPr>
        <w:t>D</w:t>
      </w:r>
      <w:r w:rsidR="00AC172B">
        <w:rPr>
          <w:sz w:val="22"/>
          <w:szCs w:val="22"/>
        </w:rPr>
        <w:t>evelopment</w:t>
      </w:r>
      <w:r w:rsidR="00E47920">
        <w:rPr>
          <w:sz w:val="22"/>
          <w:szCs w:val="22"/>
        </w:rPr>
        <w:tab/>
      </w:r>
      <w:r w:rsidR="00E47920">
        <w:rPr>
          <w:sz w:val="22"/>
          <w:szCs w:val="22"/>
        </w:rPr>
        <w:tab/>
      </w:r>
      <w:r w:rsidR="00E47920">
        <w:rPr>
          <w:sz w:val="22"/>
          <w:szCs w:val="22"/>
        </w:rPr>
        <w:tab/>
      </w:r>
      <w:r w:rsidR="00E47920">
        <w:rPr>
          <w:sz w:val="22"/>
          <w:szCs w:val="22"/>
        </w:rPr>
        <w:tab/>
      </w:r>
      <w:r w:rsidR="00E47920">
        <w:rPr>
          <w:sz w:val="22"/>
          <w:szCs w:val="22"/>
        </w:rPr>
        <w:tab/>
        <w:t>Bremner, Ch. 2, 4</w:t>
      </w:r>
    </w:p>
    <w:p w:rsidR="00AC172B" w:rsidRDefault="00AC172B" w:rsidP="0086480E">
      <w:pPr>
        <w:rPr>
          <w:sz w:val="22"/>
          <w:szCs w:val="22"/>
        </w:rPr>
      </w:pPr>
    </w:p>
    <w:p w:rsidR="00AC172B" w:rsidRDefault="00AC172B" w:rsidP="0086480E">
      <w:pPr>
        <w:rPr>
          <w:sz w:val="22"/>
          <w:szCs w:val="22"/>
        </w:rPr>
      </w:pPr>
      <w:r>
        <w:rPr>
          <w:sz w:val="22"/>
          <w:szCs w:val="22"/>
        </w:rPr>
        <w:t>Feb. 12 &amp; 19</w:t>
      </w:r>
      <w:r>
        <w:rPr>
          <w:sz w:val="22"/>
          <w:szCs w:val="22"/>
        </w:rPr>
        <w:tab/>
      </w:r>
      <w:r>
        <w:rPr>
          <w:sz w:val="22"/>
          <w:szCs w:val="22"/>
        </w:rPr>
        <w:tab/>
      </w:r>
      <w:r>
        <w:rPr>
          <w:sz w:val="22"/>
          <w:szCs w:val="22"/>
        </w:rPr>
        <w:tab/>
        <w:t>Domain #2 – Mental health</w:t>
      </w:r>
      <w:r w:rsidR="00E47920">
        <w:rPr>
          <w:sz w:val="22"/>
          <w:szCs w:val="22"/>
        </w:rPr>
        <w:tab/>
      </w:r>
      <w:r w:rsidR="00E47920">
        <w:rPr>
          <w:sz w:val="22"/>
          <w:szCs w:val="22"/>
        </w:rPr>
        <w:tab/>
      </w:r>
      <w:r w:rsidR="00E47920">
        <w:rPr>
          <w:sz w:val="22"/>
          <w:szCs w:val="22"/>
        </w:rPr>
        <w:tab/>
        <w:t>Johnson, Part IV</w:t>
      </w:r>
    </w:p>
    <w:p w:rsidR="00DF48AC" w:rsidRPr="00E47920" w:rsidRDefault="00DF48AC" w:rsidP="0086480E">
      <w:pPr>
        <w:rPr>
          <w:sz w:val="22"/>
          <w:szCs w:val="22"/>
        </w:rPr>
      </w:pPr>
      <w:r>
        <w:rPr>
          <w:sz w:val="22"/>
          <w:szCs w:val="22"/>
        </w:rPr>
        <w:tab/>
      </w:r>
      <w:r>
        <w:rPr>
          <w:sz w:val="22"/>
          <w:szCs w:val="22"/>
        </w:rPr>
        <w:tab/>
      </w:r>
      <w:r>
        <w:rPr>
          <w:sz w:val="22"/>
          <w:szCs w:val="22"/>
        </w:rPr>
        <w:tab/>
      </w:r>
      <w:r>
        <w:rPr>
          <w:sz w:val="22"/>
          <w:szCs w:val="22"/>
        </w:rPr>
        <w:tab/>
      </w:r>
      <w:r w:rsidR="00A46148">
        <w:rPr>
          <w:b/>
          <w:sz w:val="22"/>
          <w:szCs w:val="22"/>
        </w:rPr>
        <w:t>[Article Critique #1 due Feb. 19</w:t>
      </w:r>
      <w:r w:rsidR="00A46148" w:rsidRPr="00602538">
        <w:rPr>
          <w:b/>
          <w:sz w:val="22"/>
          <w:szCs w:val="22"/>
          <w:vertAlign w:val="superscript"/>
        </w:rPr>
        <w:t>th</w:t>
      </w:r>
      <w:r w:rsidR="00A46148">
        <w:rPr>
          <w:b/>
          <w:sz w:val="22"/>
          <w:szCs w:val="22"/>
        </w:rPr>
        <w:t>]</w:t>
      </w:r>
      <w:r w:rsidR="00A46148">
        <w:rPr>
          <w:sz w:val="22"/>
          <w:szCs w:val="22"/>
        </w:rPr>
        <w:tab/>
      </w:r>
      <w:r w:rsidR="00A46148">
        <w:rPr>
          <w:sz w:val="22"/>
          <w:szCs w:val="22"/>
        </w:rPr>
        <w:tab/>
      </w:r>
      <w:r w:rsidR="00E47920">
        <w:rPr>
          <w:sz w:val="22"/>
          <w:szCs w:val="22"/>
        </w:rPr>
        <w:t>Bremner, Ch. 5, 6, 8</w:t>
      </w:r>
    </w:p>
    <w:p w:rsidR="00DF48AC" w:rsidRPr="00DF48AC" w:rsidRDefault="00DF48AC" w:rsidP="0086480E">
      <w:pPr>
        <w:rPr>
          <w:b/>
          <w:sz w:val="22"/>
          <w:szCs w:val="22"/>
        </w:rPr>
      </w:pPr>
      <w:r>
        <w:rPr>
          <w:b/>
          <w:sz w:val="22"/>
          <w:szCs w:val="22"/>
        </w:rPr>
        <w:tab/>
      </w:r>
      <w:r>
        <w:rPr>
          <w:b/>
          <w:sz w:val="22"/>
          <w:szCs w:val="22"/>
        </w:rPr>
        <w:tab/>
      </w:r>
      <w:r>
        <w:rPr>
          <w:b/>
          <w:sz w:val="22"/>
          <w:szCs w:val="22"/>
        </w:rPr>
        <w:tab/>
      </w:r>
      <w:r>
        <w:rPr>
          <w:b/>
          <w:sz w:val="22"/>
          <w:szCs w:val="22"/>
        </w:rPr>
        <w:tab/>
      </w:r>
    </w:p>
    <w:p w:rsidR="00AC172B" w:rsidRDefault="00AC172B" w:rsidP="0086480E">
      <w:pPr>
        <w:rPr>
          <w:sz w:val="22"/>
          <w:szCs w:val="22"/>
        </w:rPr>
      </w:pPr>
    </w:p>
    <w:p w:rsidR="00AC172B" w:rsidRDefault="00A96D1E" w:rsidP="0086480E">
      <w:pPr>
        <w:rPr>
          <w:sz w:val="22"/>
          <w:szCs w:val="22"/>
        </w:rPr>
      </w:pPr>
      <w:r>
        <w:rPr>
          <w:sz w:val="22"/>
          <w:szCs w:val="22"/>
        </w:rPr>
        <w:lastRenderedPageBreak/>
        <w:t>Feb. 26 &amp; Mar. 05</w:t>
      </w:r>
      <w:r>
        <w:rPr>
          <w:sz w:val="22"/>
          <w:szCs w:val="22"/>
        </w:rPr>
        <w:tab/>
      </w:r>
      <w:r>
        <w:rPr>
          <w:sz w:val="22"/>
          <w:szCs w:val="22"/>
        </w:rPr>
        <w:tab/>
        <w:t>Domain #3 – Substance abuse</w:t>
      </w:r>
      <w:r w:rsidR="00E47920">
        <w:rPr>
          <w:sz w:val="22"/>
          <w:szCs w:val="22"/>
        </w:rPr>
        <w:tab/>
      </w:r>
      <w:r w:rsidR="00E47920">
        <w:rPr>
          <w:sz w:val="22"/>
          <w:szCs w:val="22"/>
        </w:rPr>
        <w:tab/>
      </w:r>
      <w:r w:rsidR="00E47920">
        <w:rPr>
          <w:sz w:val="22"/>
          <w:szCs w:val="22"/>
        </w:rPr>
        <w:tab/>
        <w:t>Johnson, Part V</w:t>
      </w:r>
    </w:p>
    <w:p w:rsidR="00DF48AC" w:rsidRPr="00E47920" w:rsidRDefault="00DF48AC" w:rsidP="0086480E">
      <w:pPr>
        <w:rPr>
          <w:sz w:val="22"/>
          <w:szCs w:val="22"/>
        </w:rPr>
      </w:pPr>
      <w:r>
        <w:rPr>
          <w:sz w:val="22"/>
          <w:szCs w:val="22"/>
        </w:rPr>
        <w:tab/>
      </w:r>
      <w:r>
        <w:rPr>
          <w:sz w:val="22"/>
          <w:szCs w:val="22"/>
        </w:rPr>
        <w:tab/>
      </w:r>
      <w:r>
        <w:rPr>
          <w:sz w:val="22"/>
          <w:szCs w:val="22"/>
        </w:rPr>
        <w:tab/>
      </w:r>
      <w:r>
        <w:rPr>
          <w:sz w:val="22"/>
          <w:szCs w:val="22"/>
        </w:rPr>
        <w:tab/>
      </w:r>
      <w:r w:rsidR="00A46148">
        <w:rPr>
          <w:b/>
          <w:sz w:val="22"/>
          <w:szCs w:val="22"/>
        </w:rPr>
        <w:t>[Article Critique #2 due Mar. 05</w:t>
      </w:r>
      <w:r w:rsidR="00A46148" w:rsidRPr="00602538">
        <w:rPr>
          <w:b/>
          <w:sz w:val="22"/>
          <w:szCs w:val="22"/>
          <w:vertAlign w:val="superscript"/>
        </w:rPr>
        <w:t>th</w:t>
      </w:r>
      <w:r w:rsidR="00A46148">
        <w:rPr>
          <w:b/>
          <w:sz w:val="22"/>
          <w:szCs w:val="22"/>
        </w:rPr>
        <w:t>]</w:t>
      </w:r>
      <w:r w:rsidR="00E47920">
        <w:rPr>
          <w:sz w:val="22"/>
          <w:szCs w:val="22"/>
        </w:rPr>
        <w:tab/>
      </w:r>
      <w:r w:rsidR="00E47920">
        <w:rPr>
          <w:sz w:val="22"/>
          <w:szCs w:val="22"/>
        </w:rPr>
        <w:tab/>
        <w:t>Bremner, Ch. 7</w:t>
      </w:r>
    </w:p>
    <w:p w:rsidR="00DF48AC" w:rsidRPr="00DF48AC" w:rsidRDefault="00DF48AC" w:rsidP="0086480E">
      <w:pPr>
        <w:rPr>
          <w:sz w:val="22"/>
          <w:szCs w:val="22"/>
        </w:rPr>
      </w:pPr>
      <w:r>
        <w:rPr>
          <w:b/>
          <w:sz w:val="22"/>
          <w:szCs w:val="22"/>
        </w:rPr>
        <w:tab/>
      </w:r>
      <w:r>
        <w:rPr>
          <w:b/>
          <w:sz w:val="22"/>
          <w:szCs w:val="22"/>
        </w:rPr>
        <w:tab/>
      </w:r>
      <w:r>
        <w:rPr>
          <w:b/>
          <w:sz w:val="22"/>
          <w:szCs w:val="22"/>
        </w:rPr>
        <w:tab/>
      </w:r>
      <w:r>
        <w:rPr>
          <w:b/>
          <w:sz w:val="22"/>
          <w:szCs w:val="22"/>
        </w:rPr>
        <w:tab/>
      </w:r>
    </w:p>
    <w:p w:rsidR="00A96D1E" w:rsidRDefault="00A96D1E" w:rsidP="0086480E">
      <w:pPr>
        <w:rPr>
          <w:sz w:val="22"/>
          <w:szCs w:val="22"/>
        </w:rPr>
      </w:pPr>
    </w:p>
    <w:p w:rsidR="00A96D1E" w:rsidRPr="00E47920" w:rsidRDefault="00A96D1E" w:rsidP="0086480E">
      <w:pPr>
        <w:rPr>
          <w:sz w:val="22"/>
          <w:szCs w:val="22"/>
        </w:rPr>
      </w:pPr>
      <w:r>
        <w:rPr>
          <w:sz w:val="22"/>
          <w:szCs w:val="22"/>
        </w:rPr>
        <w:t>Mar. 12</w:t>
      </w:r>
      <w:r>
        <w:rPr>
          <w:sz w:val="22"/>
          <w:szCs w:val="22"/>
        </w:rPr>
        <w:tab/>
      </w:r>
      <w:r>
        <w:rPr>
          <w:sz w:val="22"/>
          <w:szCs w:val="22"/>
        </w:rPr>
        <w:tab/>
      </w:r>
      <w:r>
        <w:rPr>
          <w:sz w:val="22"/>
          <w:szCs w:val="22"/>
        </w:rPr>
        <w:tab/>
      </w:r>
      <w:r>
        <w:rPr>
          <w:sz w:val="22"/>
          <w:szCs w:val="22"/>
        </w:rPr>
        <w:tab/>
      </w:r>
      <w:r w:rsidR="00E47920">
        <w:rPr>
          <w:sz w:val="22"/>
          <w:szCs w:val="22"/>
        </w:rPr>
        <w:t>[</w:t>
      </w:r>
      <w:r>
        <w:rPr>
          <w:b/>
          <w:i/>
          <w:sz w:val="22"/>
          <w:szCs w:val="22"/>
        </w:rPr>
        <w:t>Spring Break</w:t>
      </w:r>
      <w:r w:rsidR="00E47920">
        <w:rPr>
          <w:b/>
          <w:sz w:val="22"/>
          <w:szCs w:val="22"/>
        </w:rPr>
        <w:t>]</w:t>
      </w:r>
    </w:p>
    <w:p w:rsidR="00A96D1E" w:rsidRDefault="00A96D1E" w:rsidP="0086480E">
      <w:pPr>
        <w:rPr>
          <w:sz w:val="22"/>
          <w:szCs w:val="22"/>
        </w:rPr>
      </w:pPr>
    </w:p>
    <w:p w:rsidR="00A96D1E" w:rsidRDefault="00A96D1E" w:rsidP="0086480E">
      <w:pPr>
        <w:rPr>
          <w:sz w:val="22"/>
          <w:szCs w:val="22"/>
        </w:rPr>
      </w:pPr>
      <w:r>
        <w:rPr>
          <w:sz w:val="22"/>
          <w:szCs w:val="22"/>
        </w:rPr>
        <w:t>Mar. 19 &amp; 26</w:t>
      </w:r>
      <w:r>
        <w:rPr>
          <w:sz w:val="22"/>
          <w:szCs w:val="22"/>
        </w:rPr>
        <w:tab/>
      </w:r>
      <w:r>
        <w:rPr>
          <w:sz w:val="22"/>
          <w:szCs w:val="22"/>
        </w:rPr>
        <w:tab/>
      </w:r>
      <w:r>
        <w:rPr>
          <w:sz w:val="22"/>
          <w:szCs w:val="22"/>
        </w:rPr>
        <w:tab/>
        <w:t>Domain #4 – Cognition</w:t>
      </w:r>
      <w:r w:rsidR="00E47920">
        <w:rPr>
          <w:sz w:val="22"/>
          <w:szCs w:val="22"/>
        </w:rPr>
        <w:tab/>
      </w:r>
      <w:r w:rsidR="00E47920">
        <w:rPr>
          <w:sz w:val="22"/>
          <w:szCs w:val="22"/>
        </w:rPr>
        <w:tab/>
      </w:r>
      <w:r w:rsidR="00E47920">
        <w:rPr>
          <w:sz w:val="22"/>
          <w:szCs w:val="22"/>
        </w:rPr>
        <w:tab/>
      </w:r>
      <w:r w:rsidR="00E47920">
        <w:rPr>
          <w:sz w:val="22"/>
          <w:szCs w:val="22"/>
        </w:rPr>
        <w:tab/>
        <w:t>Assigned readings</w:t>
      </w:r>
    </w:p>
    <w:p w:rsidR="00A96D1E" w:rsidRDefault="00A96D1E" w:rsidP="00A96D1E">
      <w:pPr>
        <w:ind w:left="2160" w:firstLine="720"/>
        <w:rPr>
          <w:sz w:val="22"/>
          <w:szCs w:val="22"/>
        </w:rPr>
      </w:pPr>
      <w:r>
        <w:rPr>
          <w:sz w:val="22"/>
          <w:szCs w:val="22"/>
        </w:rPr>
        <w:t>(Emotion, learning, and</w:t>
      </w:r>
      <w:r w:rsidR="00E47920">
        <w:rPr>
          <w:sz w:val="22"/>
          <w:szCs w:val="22"/>
        </w:rPr>
        <w:tab/>
      </w:r>
      <w:r w:rsidR="00E47920">
        <w:rPr>
          <w:sz w:val="22"/>
          <w:szCs w:val="22"/>
        </w:rPr>
        <w:tab/>
      </w:r>
      <w:r w:rsidR="00E47920">
        <w:rPr>
          <w:sz w:val="22"/>
          <w:szCs w:val="22"/>
        </w:rPr>
        <w:tab/>
      </w:r>
      <w:r w:rsidR="00E47920">
        <w:rPr>
          <w:sz w:val="22"/>
          <w:szCs w:val="22"/>
        </w:rPr>
        <w:tab/>
        <w:t>in Blackboard</w:t>
      </w:r>
    </w:p>
    <w:p w:rsidR="00A96D1E" w:rsidRDefault="00A96D1E" w:rsidP="00A96D1E">
      <w:pPr>
        <w:ind w:left="2880"/>
        <w:rPr>
          <w:sz w:val="22"/>
          <w:szCs w:val="22"/>
        </w:rPr>
      </w:pPr>
      <w:r>
        <w:rPr>
          <w:sz w:val="22"/>
          <w:szCs w:val="22"/>
        </w:rPr>
        <w:t>Memory)</w:t>
      </w:r>
      <w:r w:rsidR="00E47920">
        <w:rPr>
          <w:sz w:val="22"/>
          <w:szCs w:val="22"/>
        </w:rPr>
        <w:tab/>
      </w:r>
      <w:r w:rsidR="00E47920">
        <w:rPr>
          <w:sz w:val="22"/>
          <w:szCs w:val="22"/>
        </w:rPr>
        <w:tab/>
      </w:r>
      <w:r w:rsidR="00E47920">
        <w:rPr>
          <w:sz w:val="22"/>
          <w:szCs w:val="22"/>
        </w:rPr>
        <w:tab/>
      </w:r>
      <w:r w:rsidR="00E47920">
        <w:rPr>
          <w:sz w:val="22"/>
          <w:szCs w:val="22"/>
        </w:rPr>
        <w:tab/>
      </w:r>
      <w:r w:rsidR="00E47920">
        <w:rPr>
          <w:sz w:val="22"/>
          <w:szCs w:val="22"/>
        </w:rPr>
        <w:tab/>
        <w:t>Bremner, Ch. 3</w:t>
      </w:r>
    </w:p>
    <w:p w:rsidR="00DF48AC" w:rsidRPr="00DF48AC" w:rsidRDefault="00DF48AC" w:rsidP="0086480E">
      <w:pPr>
        <w:rPr>
          <w:b/>
          <w:sz w:val="22"/>
          <w:szCs w:val="22"/>
        </w:rPr>
      </w:pPr>
      <w:r>
        <w:rPr>
          <w:sz w:val="22"/>
          <w:szCs w:val="22"/>
        </w:rPr>
        <w:tab/>
      </w:r>
      <w:r>
        <w:rPr>
          <w:sz w:val="22"/>
          <w:szCs w:val="22"/>
        </w:rPr>
        <w:tab/>
      </w:r>
      <w:r>
        <w:rPr>
          <w:sz w:val="22"/>
          <w:szCs w:val="22"/>
        </w:rPr>
        <w:tab/>
      </w:r>
      <w:r>
        <w:rPr>
          <w:sz w:val="22"/>
          <w:szCs w:val="22"/>
        </w:rPr>
        <w:tab/>
      </w:r>
      <w:r>
        <w:rPr>
          <w:b/>
          <w:sz w:val="22"/>
          <w:szCs w:val="22"/>
        </w:rPr>
        <w:t>[Article Critique #3 due</w:t>
      </w:r>
      <w:r w:rsidR="00602538">
        <w:rPr>
          <w:b/>
          <w:sz w:val="22"/>
          <w:szCs w:val="22"/>
        </w:rPr>
        <w:t xml:space="preserve"> Mar. 26</w:t>
      </w:r>
      <w:r w:rsidR="00602538" w:rsidRPr="00602538">
        <w:rPr>
          <w:b/>
          <w:sz w:val="22"/>
          <w:szCs w:val="22"/>
          <w:vertAlign w:val="superscript"/>
        </w:rPr>
        <w:t>th</w:t>
      </w:r>
      <w:r>
        <w:rPr>
          <w:b/>
          <w:sz w:val="22"/>
          <w:szCs w:val="22"/>
        </w:rPr>
        <w:t>]</w:t>
      </w:r>
    </w:p>
    <w:p w:rsidR="00DF48AC" w:rsidRDefault="00DF48AC" w:rsidP="0086480E">
      <w:pPr>
        <w:rPr>
          <w:sz w:val="22"/>
          <w:szCs w:val="22"/>
        </w:rPr>
      </w:pPr>
    </w:p>
    <w:p w:rsidR="00A96D1E" w:rsidRDefault="00A96D1E" w:rsidP="0086480E">
      <w:pPr>
        <w:rPr>
          <w:sz w:val="22"/>
          <w:szCs w:val="22"/>
        </w:rPr>
      </w:pPr>
      <w:r>
        <w:rPr>
          <w:sz w:val="22"/>
          <w:szCs w:val="22"/>
        </w:rPr>
        <w:t>Apr. 02 &amp; 09</w:t>
      </w:r>
      <w:r>
        <w:rPr>
          <w:sz w:val="22"/>
          <w:szCs w:val="22"/>
        </w:rPr>
        <w:tab/>
      </w:r>
      <w:r>
        <w:rPr>
          <w:sz w:val="22"/>
          <w:szCs w:val="22"/>
        </w:rPr>
        <w:tab/>
      </w:r>
      <w:r>
        <w:rPr>
          <w:sz w:val="22"/>
          <w:szCs w:val="22"/>
        </w:rPr>
        <w:tab/>
        <w:t>Domain #5 – Stress &amp; trauma</w:t>
      </w:r>
      <w:r w:rsidR="00E47920">
        <w:rPr>
          <w:sz w:val="22"/>
          <w:szCs w:val="22"/>
        </w:rPr>
        <w:tab/>
      </w:r>
      <w:r w:rsidR="00E47920">
        <w:rPr>
          <w:sz w:val="22"/>
          <w:szCs w:val="22"/>
        </w:rPr>
        <w:tab/>
      </w:r>
      <w:r w:rsidR="00E47920">
        <w:rPr>
          <w:sz w:val="22"/>
          <w:szCs w:val="22"/>
        </w:rPr>
        <w:tab/>
        <w:t>Assigned readings</w:t>
      </w:r>
    </w:p>
    <w:p w:rsidR="00DF48AC" w:rsidRPr="00E47920" w:rsidRDefault="00DF48AC" w:rsidP="0086480E">
      <w:pPr>
        <w:rPr>
          <w:sz w:val="22"/>
          <w:szCs w:val="22"/>
        </w:rPr>
      </w:pPr>
      <w:r>
        <w:rPr>
          <w:sz w:val="22"/>
          <w:szCs w:val="22"/>
        </w:rPr>
        <w:tab/>
      </w:r>
      <w:r>
        <w:rPr>
          <w:sz w:val="22"/>
          <w:szCs w:val="22"/>
        </w:rPr>
        <w:tab/>
      </w:r>
      <w:r>
        <w:rPr>
          <w:sz w:val="22"/>
          <w:szCs w:val="22"/>
        </w:rPr>
        <w:tab/>
      </w:r>
      <w:r>
        <w:rPr>
          <w:sz w:val="22"/>
          <w:szCs w:val="22"/>
        </w:rPr>
        <w:tab/>
      </w:r>
      <w:r w:rsidR="00A46148">
        <w:rPr>
          <w:b/>
          <w:sz w:val="22"/>
          <w:szCs w:val="22"/>
        </w:rPr>
        <w:t>[Article Critique #4 due Apr. 09</w:t>
      </w:r>
      <w:r w:rsidR="00A46148" w:rsidRPr="00602538">
        <w:rPr>
          <w:b/>
          <w:sz w:val="22"/>
          <w:szCs w:val="22"/>
          <w:vertAlign w:val="superscript"/>
        </w:rPr>
        <w:t>th</w:t>
      </w:r>
      <w:r w:rsidR="00A46148">
        <w:rPr>
          <w:b/>
          <w:sz w:val="22"/>
          <w:szCs w:val="22"/>
        </w:rPr>
        <w:t>]</w:t>
      </w:r>
      <w:r w:rsidR="00E47920">
        <w:rPr>
          <w:sz w:val="22"/>
          <w:szCs w:val="22"/>
        </w:rPr>
        <w:tab/>
      </w:r>
      <w:r w:rsidR="00E47920">
        <w:rPr>
          <w:sz w:val="22"/>
          <w:szCs w:val="22"/>
        </w:rPr>
        <w:tab/>
        <w:t>in Blackboard</w:t>
      </w:r>
    </w:p>
    <w:p w:rsidR="00DF48AC" w:rsidRPr="00DF48AC" w:rsidRDefault="00DF48AC" w:rsidP="0086480E">
      <w:pPr>
        <w:rPr>
          <w:b/>
          <w:sz w:val="22"/>
          <w:szCs w:val="22"/>
        </w:rPr>
      </w:pPr>
      <w:r>
        <w:rPr>
          <w:b/>
          <w:sz w:val="22"/>
          <w:szCs w:val="22"/>
        </w:rPr>
        <w:tab/>
      </w:r>
      <w:r>
        <w:rPr>
          <w:b/>
          <w:sz w:val="22"/>
          <w:szCs w:val="22"/>
        </w:rPr>
        <w:tab/>
      </w:r>
      <w:r>
        <w:rPr>
          <w:b/>
          <w:sz w:val="22"/>
          <w:szCs w:val="22"/>
        </w:rPr>
        <w:tab/>
      </w:r>
      <w:r>
        <w:rPr>
          <w:b/>
          <w:sz w:val="22"/>
          <w:szCs w:val="22"/>
        </w:rPr>
        <w:tab/>
      </w:r>
    </w:p>
    <w:p w:rsidR="00A96D1E" w:rsidRDefault="00A96D1E" w:rsidP="0086480E">
      <w:pPr>
        <w:rPr>
          <w:sz w:val="22"/>
          <w:szCs w:val="22"/>
        </w:rPr>
      </w:pPr>
    </w:p>
    <w:p w:rsidR="00A96D1E" w:rsidRDefault="00A96D1E" w:rsidP="0086480E">
      <w:pPr>
        <w:rPr>
          <w:sz w:val="22"/>
          <w:szCs w:val="22"/>
        </w:rPr>
      </w:pPr>
      <w:r>
        <w:rPr>
          <w:sz w:val="22"/>
          <w:szCs w:val="22"/>
        </w:rPr>
        <w:t>Apr. 16 &amp; 23</w:t>
      </w:r>
      <w:r>
        <w:rPr>
          <w:sz w:val="22"/>
          <w:szCs w:val="22"/>
        </w:rPr>
        <w:tab/>
      </w:r>
      <w:r>
        <w:rPr>
          <w:sz w:val="22"/>
          <w:szCs w:val="22"/>
        </w:rPr>
        <w:tab/>
      </w:r>
      <w:r>
        <w:rPr>
          <w:sz w:val="22"/>
          <w:szCs w:val="22"/>
        </w:rPr>
        <w:tab/>
        <w:t>Domain #6 – Violence &amp;</w:t>
      </w:r>
      <w:r w:rsidR="00E47920">
        <w:rPr>
          <w:sz w:val="22"/>
          <w:szCs w:val="22"/>
        </w:rPr>
        <w:tab/>
      </w:r>
      <w:r w:rsidR="00E47920">
        <w:rPr>
          <w:sz w:val="22"/>
          <w:szCs w:val="22"/>
        </w:rPr>
        <w:tab/>
      </w:r>
      <w:r w:rsidR="00E47920">
        <w:rPr>
          <w:sz w:val="22"/>
          <w:szCs w:val="22"/>
        </w:rPr>
        <w:tab/>
        <w:t>Assigned readings</w:t>
      </w:r>
    </w:p>
    <w:p w:rsidR="00A96D1E" w:rsidRDefault="00A96D1E" w:rsidP="00A96D1E">
      <w:pPr>
        <w:ind w:left="2160" w:firstLine="720"/>
        <w:rPr>
          <w:sz w:val="22"/>
          <w:szCs w:val="22"/>
        </w:rPr>
      </w:pPr>
      <w:r>
        <w:rPr>
          <w:sz w:val="22"/>
          <w:szCs w:val="22"/>
        </w:rPr>
        <w:t>Aggression</w:t>
      </w:r>
      <w:r w:rsidR="00E47920">
        <w:rPr>
          <w:sz w:val="22"/>
          <w:szCs w:val="22"/>
        </w:rPr>
        <w:tab/>
      </w:r>
      <w:r w:rsidR="00E47920">
        <w:rPr>
          <w:sz w:val="22"/>
          <w:szCs w:val="22"/>
        </w:rPr>
        <w:tab/>
      </w:r>
      <w:r w:rsidR="00E47920">
        <w:rPr>
          <w:sz w:val="22"/>
          <w:szCs w:val="22"/>
        </w:rPr>
        <w:tab/>
      </w:r>
      <w:r w:rsidR="00E47920">
        <w:rPr>
          <w:sz w:val="22"/>
          <w:szCs w:val="22"/>
        </w:rPr>
        <w:tab/>
      </w:r>
      <w:r w:rsidR="00E47920">
        <w:rPr>
          <w:sz w:val="22"/>
          <w:szCs w:val="22"/>
        </w:rPr>
        <w:tab/>
        <w:t>in Blackboard</w:t>
      </w:r>
    </w:p>
    <w:p w:rsidR="00DF48AC" w:rsidRDefault="00A46148" w:rsidP="00A96D1E">
      <w:pPr>
        <w:ind w:left="2160" w:firstLine="720"/>
        <w:rPr>
          <w:b/>
          <w:sz w:val="22"/>
          <w:szCs w:val="22"/>
        </w:rPr>
      </w:pPr>
      <w:r>
        <w:rPr>
          <w:b/>
          <w:sz w:val="22"/>
          <w:szCs w:val="22"/>
        </w:rPr>
        <w:t>[Article Critique #5 due Apr. 16</w:t>
      </w:r>
      <w:r w:rsidRPr="00602538">
        <w:rPr>
          <w:b/>
          <w:sz w:val="22"/>
          <w:szCs w:val="22"/>
          <w:vertAlign w:val="superscript"/>
        </w:rPr>
        <w:t>th</w:t>
      </w:r>
      <w:r>
        <w:rPr>
          <w:b/>
          <w:sz w:val="22"/>
          <w:szCs w:val="22"/>
        </w:rPr>
        <w:t>]</w:t>
      </w:r>
    </w:p>
    <w:p w:rsidR="00DF48AC" w:rsidRDefault="00DF48AC" w:rsidP="00DF48AC">
      <w:pPr>
        <w:rPr>
          <w:b/>
          <w:sz w:val="22"/>
          <w:szCs w:val="22"/>
        </w:rPr>
      </w:pPr>
      <w:r>
        <w:rPr>
          <w:b/>
          <w:sz w:val="22"/>
          <w:szCs w:val="22"/>
        </w:rPr>
        <w:tab/>
      </w:r>
      <w:r>
        <w:rPr>
          <w:b/>
          <w:sz w:val="22"/>
          <w:szCs w:val="22"/>
        </w:rPr>
        <w:tab/>
      </w:r>
      <w:r>
        <w:rPr>
          <w:b/>
          <w:sz w:val="22"/>
          <w:szCs w:val="22"/>
        </w:rPr>
        <w:tab/>
      </w:r>
      <w:r>
        <w:rPr>
          <w:b/>
          <w:sz w:val="22"/>
          <w:szCs w:val="22"/>
        </w:rPr>
        <w:tab/>
      </w:r>
      <w:r w:rsidR="00A46148">
        <w:rPr>
          <w:b/>
          <w:sz w:val="22"/>
          <w:szCs w:val="22"/>
        </w:rPr>
        <w:t>[Major paper due Apr. 23rd]</w:t>
      </w:r>
    </w:p>
    <w:p w:rsidR="00DF48AC" w:rsidRPr="00DF48AC" w:rsidRDefault="00DF48AC" w:rsidP="00DF48AC">
      <w:pPr>
        <w:rPr>
          <w:b/>
          <w:sz w:val="22"/>
          <w:szCs w:val="22"/>
        </w:rPr>
      </w:pPr>
      <w:r>
        <w:rPr>
          <w:b/>
          <w:sz w:val="22"/>
          <w:szCs w:val="22"/>
        </w:rPr>
        <w:tab/>
      </w:r>
      <w:r>
        <w:rPr>
          <w:b/>
          <w:sz w:val="22"/>
          <w:szCs w:val="22"/>
        </w:rPr>
        <w:tab/>
      </w:r>
      <w:r>
        <w:rPr>
          <w:b/>
          <w:sz w:val="22"/>
          <w:szCs w:val="22"/>
        </w:rPr>
        <w:tab/>
      </w:r>
      <w:r>
        <w:rPr>
          <w:b/>
          <w:sz w:val="22"/>
          <w:szCs w:val="22"/>
        </w:rPr>
        <w:tab/>
      </w:r>
    </w:p>
    <w:p w:rsidR="00A96D1E" w:rsidRDefault="00A96D1E" w:rsidP="0086480E">
      <w:pPr>
        <w:rPr>
          <w:sz w:val="22"/>
          <w:szCs w:val="22"/>
        </w:rPr>
      </w:pPr>
    </w:p>
    <w:p w:rsidR="00A96D1E" w:rsidRDefault="00A96D1E" w:rsidP="0086480E">
      <w:pPr>
        <w:rPr>
          <w:sz w:val="22"/>
          <w:szCs w:val="22"/>
        </w:rPr>
      </w:pPr>
      <w:r>
        <w:rPr>
          <w:sz w:val="22"/>
          <w:szCs w:val="22"/>
        </w:rPr>
        <w:t>Apr. 30</w:t>
      </w:r>
      <w:r>
        <w:rPr>
          <w:sz w:val="22"/>
          <w:szCs w:val="22"/>
        </w:rPr>
        <w:tab/>
      </w:r>
      <w:r>
        <w:rPr>
          <w:sz w:val="22"/>
          <w:szCs w:val="22"/>
        </w:rPr>
        <w:tab/>
      </w:r>
      <w:r>
        <w:rPr>
          <w:sz w:val="22"/>
          <w:szCs w:val="22"/>
        </w:rPr>
        <w:tab/>
      </w:r>
      <w:r>
        <w:rPr>
          <w:sz w:val="22"/>
          <w:szCs w:val="22"/>
        </w:rPr>
        <w:tab/>
        <w:t>Conclusion: The future of</w:t>
      </w:r>
      <w:r w:rsidR="00E47920">
        <w:rPr>
          <w:sz w:val="22"/>
          <w:szCs w:val="22"/>
        </w:rPr>
        <w:tab/>
      </w:r>
      <w:r w:rsidR="00E47920">
        <w:rPr>
          <w:sz w:val="22"/>
          <w:szCs w:val="22"/>
        </w:rPr>
        <w:tab/>
      </w:r>
      <w:r w:rsidR="00E47920">
        <w:rPr>
          <w:sz w:val="22"/>
          <w:szCs w:val="22"/>
        </w:rPr>
        <w:tab/>
        <w:t>Johnson, Part VI</w:t>
      </w:r>
    </w:p>
    <w:p w:rsidR="00A96D1E" w:rsidRDefault="00A96D1E" w:rsidP="00A96D1E">
      <w:pPr>
        <w:ind w:left="2160" w:firstLine="720"/>
        <w:rPr>
          <w:sz w:val="22"/>
          <w:szCs w:val="22"/>
        </w:rPr>
      </w:pPr>
      <w:r>
        <w:rPr>
          <w:sz w:val="22"/>
          <w:szCs w:val="22"/>
        </w:rPr>
        <w:t>Neuropsychology and</w:t>
      </w:r>
      <w:r w:rsidR="00E47920">
        <w:rPr>
          <w:sz w:val="22"/>
          <w:szCs w:val="22"/>
        </w:rPr>
        <w:tab/>
      </w:r>
      <w:r w:rsidR="00E47920">
        <w:rPr>
          <w:sz w:val="22"/>
          <w:szCs w:val="22"/>
        </w:rPr>
        <w:tab/>
      </w:r>
      <w:r w:rsidR="00E47920">
        <w:rPr>
          <w:sz w:val="22"/>
          <w:szCs w:val="22"/>
        </w:rPr>
        <w:tab/>
      </w:r>
      <w:r w:rsidR="00E47920">
        <w:rPr>
          <w:sz w:val="22"/>
          <w:szCs w:val="22"/>
        </w:rPr>
        <w:tab/>
        <w:t>Bremner, Ch. 9</w:t>
      </w:r>
    </w:p>
    <w:p w:rsidR="00A96D1E" w:rsidRDefault="00A96D1E" w:rsidP="00A96D1E">
      <w:pPr>
        <w:ind w:left="2160" w:firstLine="720"/>
        <w:rPr>
          <w:sz w:val="22"/>
          <w:szCs w:val="22"/>
        </w:rPr>
      </w:pPr>
      <w:r>
        <w:rPr>
          <w:sz w:val="22"/>
          <w:szCs w:val="22"/>
        </w:rPr>
        <w:t>Social work practice.</w:t>
      </w:r>
    </w:p>
    <w:p w:rsidR="004B2D9B" w:rsidRPr="00BE7F36" w:rsidRDefault="004B2D9B" w:rsidP="004B2D9B">
      <w:pPr>
        <w:rPr>
          <w:b/>
          <w:sz w:val="22"/>
          <w:szCs w:val="22"/>
        </w:rPr>
      </w:pPr>
      <w:r>
        <w:rPr>
          <w:b/>
          <w:sz w:val="22"/>
          <w:szCs w:val="22"/>
        </w:rPr>
        <w:tab/>
      </w:r>
      <w:r>
        <w:rPr>
          <w:b/>
          <w:sz w:val="22"/>
          <w:szCs w:val="22"/>
        </w:rPr>
        <w:tab/>
      </w:r>
      <w:r>
        <w:rPr>
          <w:b/>
          <w:sz w:val="22"/>
          <w:szCs w:val="22"/>
        </w:rPr>
        <w:tab/>
      </w:r>
      <w:r>
        <w:rPr>
          <w:b/>
          <w:sz w:val="22"/>
          <w:szCs w:val="22"/>
        </w:rPr>
        <w:tab/>
        <w:t>[Article Critique #6 due]</w:t>
      </w:r>
    </w:p>
    <w:p w:rsidR="00AC172B" w:rsidRPr="0014633D" w:rsidRDefault="00AC172B" w:rsidP="0086480E">
      <w:pPr>
        <w:rPr>
          <w:sz w:val="22"/>
          <w:szCs w:val="22"/>
        </w:rPr>
      </w:pPr>
    </w:p>
    <w:p w:rsidR="00FA3751" w:rsidRPr="0014633D" w:rsidRDefault="00FA3751" w:rsidP="00FA3751">
      <w:pPr>
        <w:rPr>
          <w:sz w:val="22"/>
          <w:szCs w:val="22"/>
        </w:rPr>
      </w:pPr>
    </w:p>
    <w:p w:rsidR="00DE0FA5" w:rsidRPr="0014633D" w:rsidRDefault="00DE0FA5" w:rsidP="00963151">
      <w:pPr>
        <w:rPr>
          <w:b/>
          <w:sz w:val="22"/>
          <w:szCs w:val="22"/>
        </w:rPr>
      </w:pPr>
    </w:p>
    <w:p w:rsidR="00BE7F36" w:rsidRDefault="00963151" w:rsidP="00E4479F">
      <w:pPr>
        <w:rPr>
          <w:sz w:val="22"/>
          <w:szCs w:val="22"/>
        </w:rPr>
      </w:pPr>
      <w:r w:rsidRPr="0014633D">
        <w:rPr>
          <w:b/>
          <w:sz w:val="22"/>
          <w:szCs w:val="22"/>
        </w:rPr>
        <w:t xml:space="preserve">V.  </w:t>
      </w:r>
      <w:r w:rsidR="00BE7F36">
        <w:rPr>
          <w:b/>
          <w:sz w:val="22"/>
          <w:szCs w:val="22"/>
        </w:rPr>
        <w:t>Assignments</w:t>
      </w:r>
      <w:r w:rsidRPr="0014633D">
        <w:rPr>
          <w:b/>
          <w:sz w:val="22"/>
          <w:szCs w:val="22"/>
        </w:rPr>
        <w:t>:</w:t>
      </w:r>
    </w:p>
    <w:p w:rsidR="00BE7F36" w:rsidRDefault="00BE7F36" w:rsidP="00E4479F">
      <w:pPr>
        <w:rPr>
          <w:sz w:val="22"/>
          <w:szCs w:val="22"/>
        </w:rPr>
      </w:pPr>
    </w:p>
    <w:p w:rsidR="00BE7F36" w:rsidRDefault="00BE7F36" w:rsidP="00BE7F36">
      <w:pPr>
        <w:pStyle w:val="NoSpacing"/>
        <w:numPr>
          <w:ilvl w:val="0"/>
          <w:numId w:val="17"/>
        </w:numPr>
      </w:pPr>
      <w:r>
        <w:rPr>
          <w:b/>
          <w:sz w:val="22"/>
          <w:szCs w:val="22"/>
        </w:rPr>
        <w:t>Journal article critiques:</w:t>
      </w:r>
      <w:r>
        <w:rPr>
          <w:sz w:val="22"/>
          <w:szCs w:val="22"/>
        </w:rPr>
        <w:t xml:space="preserve">  You will be expected to find, read, and critically evaluate a </w:t>
      </w:r>
      <w:r w:rsidR="00A46148" w:rsidRPr="00073E72">
        <w:rPr>
          <w:sz w:val="22"/>
          <w:szCs w:val="22"/>
        </w:rPr>
        <w:t>peer-reviewed</w:t>
      </w:r>
      <w:r w:rsidR="00A46148">
        <w:rPr>
          <w:b/>
          <w:sz w:val="22"/>
          <w:szCs w:val="22"/>
        </w:rPr>
        <w:t xml:space="preserve"> </w:t>
      </w:r>
      <w:r>
        <w:rPr>
          <w:sz w:val="22"/>
          <w:szCs w:val="22"/>
        </w:rPr>
        <w:t xml:space="preserve">journal article that specifically deals with the domain discussed in class.  </w:t>
      </w:r>
      <w:r w:rsidR="00602538">
        <w:rPr>
          <w:sz w:val="22"/>
          <w:szCs w:val="22"/>
        </w:rPr>
        <w:t xml:space="preserve">They are due on the dates given in the class outline above.  </w:t>
      </w:r>
      <w:r w:rsidR="00A46148" w:rsidRPr="00073E72">
        <w:rPr>
          <w:sz w:val="22"/>
          <w:szCs w:val="22"/>
        </w:rPr>
        <w:t xml:space="preserve">These critiques are to be 3-5 pages in length, and are to follow standard APA formatting, and should contain at least three additional references and not be more than five years old.  </w:t>
      </w:r>
      <w:r w:rsidR="00602538" w:rsidRPr="00073E72">
        <w:rPr>
          <w:sz w:val="22"/>
          <w:szCs w:val="22"/>
        </w:rPr>
        <w:t xml:space="preserve">They will count for </w:t>
      </w:r>
      <w:r w:rsidR="00A46148" w:rsidRPr="00073E72">
        <w:rPr>
          <w:sz w:val="22"/>
          <w:szCs w:val="22"/>
        </w:rPr>
        <w:t>50</w:t>
      </w:r>
      <w:r w:rsidR="00602538" w:rsidRPr="00073E72">
        <w:rPr>
          <w:sz w:val="22"/>
          <w:szCs w:val="22"/>
        </w:rPr>
        <w:t>% of the final grade.</w:t>
      </w:r>
      <w:r w:rsidR="00602538">
        <w:rPr>
          <w:sz w:val="22"/>
          <w:szCs w:val="22"/>
        </w:rPr>
        <w:t xml:space="preserve">  </w:t>
      </w:r>
      <w:r>
        <w:t>In your write-up you will need to address the following areas:</w:t>
      </w:r>
    </w:p>
    <w:p w:rsidR="00BE7F36" w:rsidRPr="00064B0A" w:rsidRDefault="00BE7F36" w:rsidP="00BE7F36">
      <w:pPr>
        <w:pStyle w:val="NoSpacing"/>
        <w:numPr>
          <w:ilvl w:val="0"/>
          <w:numId w:val="19"/>
        </w:numPr>
        <w:tabs>
          <w:tab w:val="left" w:pos="1440"/>
          <w:tab w:val="left" w:pos="2160"/>
          <w:tab w:val="left" w:pos="2880"/>
          <w:tab w:val="left" w:pos="3600"/>
          <w:tab w:val="left" w:pos="5760"/>
        </w:tabs>
        <w:jc w:val="both"/>
      </w:pPr>
      <w:r w:rsidRPr="00064B0A">
        <w:t xml:space="preserve">title, author, date, and source </w:t>
      </w:r>
    </w:p>
    <w:p w:rsidR="00BE7F36" w:rsidRPr="00064B0A" w:rsidRDefault="00BE7F36" w:rsidP="00BE7F36">
      <w:pPr>
        <w:pStyle w:val="NoSpacing"/>
        <w:numPr>
          <w:ilvl w:val="0"/>
          <w:numId w:val="19"/>
        </w:numPr>
        <w:tabs>
          <w:tab w:val="left" w:pos="1440"/>
          <w:tab w:val="left" w:pos="2160"/>
          <w:tab w:val="left" w:pos="2880"/>
          <w:tab w:val="left" w:pos="3600"/>
          <w:tab w:val="left" w:pos="5760"/>
        </w:tabs>
        <w:jc w:val="both"/>
      </w:pPr>
      <w:r w:rsidRPr="00064B0A">
        <w:t xml:space="preserve">a summary of the study </w:t>
      </w:r>
    </w:p>
    <w:p w:rsidR="00BE7F36" w:rsidRPr="00064B0A" w:rsidRDefault="00BE7F36" w:rsidP="00BE7F36">
      <w:pPr>
        <w:pStyle w:val="NoSpacing"/>
        <w:numPr>
          <w:ilvl w:val="0"/>
          <w:numId w:val="19"/>
        </w:numPr>
        <w:tabs>
          <w:tab w:val="left" w:pos="1440"/>
          <w:tab w:val="left" w:pos="2160"/>
          <w:tab w:val="left" w:pos="2880"/>
          <w:tab w:val="left" w:pos="3600"/>
          <w:tab w:val="left" w:pos="5760"/>
        </w:tabs>
        <w:jc w:val="both"/>
      </w:pPr>
      <w:r w:rsidRPr="00064B0A">
        <w:t xml:space="preserve">discuss </w:t>
      </w:r>
      <w:r w:rsidRPr="00064B0A">
        <w:rPr>
          <w:szCs w:val="20"/>
        </w:rPr>
        <w:t>the strengths and limitations</w:t>
      </w:r>
    </w:p>
    <w:p w:rsidR="00BE7F36" w:rsidRDefault="00BE7F36" w:rsidP="00BE7F36">
      <w:pPr>
        <w:pStyle w:val="NoSpacing"/>
        <w:numPr>
          <w:ilvl w:val="0"/>
          <w:numId w:val="19"/>
        </w:numPr>
        <w:tabs>
          <w:tab w:val="left" w:pos="1440"/>
          <w:tab w:val="left" w:pos="2160"/>
          <w:tab w:val="left" w:pos="2880"/>
          <w:tab w:val="left" w:pos="3600"/>
          <w:tab w:val="left" w:pos="5760"/>
        </w:tabs>
        <w:jc w:val="both"/>
        <w:rPr>
          <w:szCs w:val="20"/>
        </w:rPr>
      </w:pPr>
      <w:r w:rsidRPr="00064B0A">
        <w:rPr>
          <w:rFonts w:eastAsia="Courier New"/>
          <w:szCs w:val="20"/>
        </w:rPr>
        <w:t xml:space="preserve">discuss </w:t>
      </w:r>
      <w:r w:rsidRPr="00064B0A">
        <w:rPr>
          <w:szCs w:val="20"/>
        </w:rPr>
        <w:t>your interpretation of the findings or conclusions</w:t>
      </w:r>
    </w:p>
    <w:p w:rsidR="00BE7F36" w:rsidRDefault="00BE7F36" w:rsidP="00FE11A6">
      <w:pPr>
        <w:pStyle w:val="NoSpacing"/>
        <w:numPr>
          <w:ilvl w:val="0"/>
          <w:numId w:val="19"/>
        </w:numPr>
        <w:tabs>
          <w:tab w:val="left" w:pos="1440"/>
          <w:tab w:val="left" w:pos="2160"/>
          <w:tab w:val="left" w:pos="2880"/>
          <w:tab w:val="left" w:pos="3600"/>
          <w:tab w:val="left" w:pos="5760"/>
        </w:tabs>
        <w:rPr>
          <w:szCs w:val="20"/>
        </w:rPr>
      </w:pPr>
      <w:r>
        <w:rPr>
          <w:szCs w:val="20"/>
        </w:rPr>
        <w:t>discuss how you would apply the findings of this research to your work with clients</w:t>
      </w:r>
    </w:p>
    <w:p w:rsidR="00BE7F36" w:rsidRDefault="00BE7F36" w:rsidP="00BE7F36">
      <w:pPr>
        <w:pStyle w:val="NoSpacing"/>
        <w:numPr>
          <w:ilvl w:val="0"/>
          <w:numId w:val="19"/>
        </w:numPr>
        <w:tabs>
          <w:tab w:val="left" w:pos="1440"/>
          <w:tab w:val="left" w:pos="2160"/>
          <w:tab w:val="left" w:pos="2880"/>
          <w:tab w:val="left" w:pos="3600"/>
          <w:tab w:val="left" w:pos="5760"/>
        </w:tabs>
        <w:jc w:val="both"/>
        <w:rPr>
          <w:szCs w:val="20"/>
        </w:rPr>
      </w:pPr>
      <w:r>
        <w:rPr>
          <w:szCs w:val="20"/>
        </w:rPr>
        <w:t>discuss how and to what extent this research addresses issues of diversity and oppression (if at all)</w:t>
      </w:r>
    </w:p>
    <w:p w:rsidR="00A46148" w:rsidRPr="00073E72" w:rsidRDefault="00A46148" w:rsidP="00FE11A6">
      <w:pPr>
        <w:pStyle w:val="NoSpacing"/>
        <w:numPr>
          <w:ilvl w:val="0"/>
          <w:numId w:val="19"/>
        </w:numPr>
        <w:tabs>
          <w:tab w:val="left" w:pos="1440"/>
          <w:tab w:val="left" w:pos="2160"/>
          <w:tab w:val="left" w:pos="2880"/>
          <w:tab w:val="left" w:pos="3600"/>
          <w:tab w:val="left" w:pos="5760"/>
        </w:tabs>
        <w:rPr>
          <w:szCs w:val="20"/>
        </w:rPr>
      </w:pPr>
      <w:r w:rsidRPr="00073E72">
        <w:rPr>
          <w:szCs w:val="20"/>
        </w:rPr>
        <w:t xml:space="preserve">discuss what future research this might involve, preferably not </w:t>
      </w:r>
      <w:r w:rsidR="00FE11A6" w:rsidRPr="00073E72">
        <w:rPr>
          <w:szCs w:val="20"/>
        </w:rPr>
        <w:t xml:space="preserve">already </w:t>
      </w:r>
      <w:r w:rsidRPr="00073E72">
        <w:rPr>
          <w:szCs w:val="20"/>
        </w:rPr>
        <w:t>mentioned in the article</w:t>
      </w:r>
      <w:bookmarkStart w:id="0" w:name="_GoBack"/>
      <w:bookmarkEnd w:id="0"/>
    </w:p>
    <w:p w:rsidR="00602538" w:rsidRDefault="00602538" w:rsidP="00602538">
      <w:pPr>
        <w:pStyle w:val="NoSpacing"/>
        <w:tabs>
          <w:tab w:val="left" w:pos="1440"/>
          <w:tab w:val="left" w:pos="2160"/>
          <w:tab w:val="left" w:pos="2880"/>
          <w:tab w:val="left" w:pos="3600"/>
          <w:tab w:val="left" w:pos="5760"/>
        </w:tabs>
        <w:ind w:left="720"/>
        <w:jc w:val="both"/>
        <w:rPr>
          <w:szCs w:val="20"/>
        </w:rPr>
      </w:pPr>
    </w:p>
    <w:p w:rsidR="00EB5506" w:rsidRPr="00602538" w:rsidRDefault="00602538" w:rsidP="00DF5D36">
      <w:pPr>
        <w:numPr>
          <w:ilvl w:val="0"/>
          <w:numId w:val="17"/>
        </w:numPr>
        <w:rPr>
          <w:sz w:val="22"/>
          <w:szCs w:val="22"/>
        </w:rPr>
      </w:pPr>
      <w:r w:rsidRPr="00602538">
        <w:rPr>
          <w:b/>
          <w:sz w:val="22"/>
          <w:szCs w:val="22"/>
        </w:rPr>
        <w:t>Major paper:</w:t>
      </w:r>
      <w:r w:rsidRPr="00602538">
        <w:rPr>
          <w:sz w:val="22"/>
          <w:szCs w:val="22"/>
        </w:rPr>
        <w:t xml:space="preserve">  </w:t>
      </w:r>
      <w:r w:rsidR="00CE3E01" w:rsidRPr="00602538">
        <w:rPr>
          <w:sz w:val="22"/>
          <w:szCs w:val="22"/>
        </w:rPr>
        <w:t>Th</w:t>
      </w:r>
      <w:r>
        <w:rPr>
          <w:sz w:val="22"/>
          <w:szCs w:val="22"/>
        </w:rPr>
        <w:t xml:space="preserve">is </w:t>
      </w:r>
      <w:r w:rsidR="00EB5506" w:rsidRPr="00602538">
        <w:rPr>
          <w:sz w:val="22"/>
          <w:szCs w:val="22"/>
        </w:rPr>
        <w:t>will be an opportunity to apply up-to-date knowledge of neurobiological underpinnings</w:t>
      </w:r>
      <w:r w:rsidR="00CE3E01" w:rsidRPr="00602538">
        <w:rPr>
          <w:sz w:val="22"/>
          <w:szCs w:val="22"/>
        </w:rPr>
        <w:t xml:space="preserve"> associated with </w:t>
      </w:r>
      <w:r w:rsidR="00EB5506" w:rsidRPr="00602538">
        <w:rPr>
          <w:sz w:val="22"/>
          <w:szCs w:val="22"/>
        </w:rPr>
        <w:t>human brain development</w:t>
      </w:r>
      <w:r w:rsidR="00CE3E01" w:rsidRPr="00602538">
        <w:rPr>
          <w:sz w:val="22"/>
          <w:szCs w:val="22"/>
        </w:rPr>
        <w:t>/change related</w:t>
      </w:r>
      <w:r w:rsidR="00EB5506" w:rsidRPr="00602538">
        <w:rPr>
          <w:sz w:val="22"/>
          <w:szCs w:val="22"/>
        </w:rPr>
        <w:t xml:space="preserve"> to a specific</w:t>
      </w:r>
      <w:r w:rsidR="00CE3E01" w:rsidRPr="00602538">
        <w:rPr>
          <w:sz w:val="22"/>
          <w:szCs w:val="22"/>
        </w:rPr>
        <w:t xml:space="preserve"> </w:t>
      </w:r>
      <w:r w:rsidR="00CE3E01" w:rsidRPr="00602538">
        <w:rPr>
          <w:sz w:val="22"/>
          <w:szCs w:val="22"/>
        </w:rPr>
        <w:lastRenderedPageBreak/>
        <w:t>environmental factor during a specific</w:t>
      </w:r>
      <w:r w:rsidR="00EB5506" w:rsidRPr="00602538">
        <w:rPr>
          <w:sz w:val="22"/>
          <w:szCs w:val="22"/>
        </w:rPr>
        <w:t xml:space="preserve"> life st</w:t>
      </w:r>
      <w:r w:rsidR="00CE3E01" w:rsidRPr="00602538">
        <w:rPr>
          <w:sz w:val="22"/>
          <w:szCs w:val="22"/>
        </w:rPr>
        <w:t>age or trajectory from the topics below</w:t>
      </w:r>
      <w:r w:rsidR="00EB5506" w:rsidRPr="00602538">
        <w:rPr>
          <w:sz w:val="22"/>
          <w:szCs w:val="22"/>
        </w:rPr>
        <w:t xml:space="preserve">. </w:t>
      </w:r>
      <w:r w:rsidR="00CE3E01" w:rsidRPr="00602538">
        <w:rPr>
          <w:sz w:val="22"/>
          <w:szCs w:val="22"/>
        </w:rPr>
        <w:t>S</w:t>
      </w:r>
      <w:r w:rsidR="00EB5506" w:rsidRPr="00602538">
        <w:rPr>
          <w:sz w:val="22"/>
          <w:szCs w:val="22"/>
        </w:rPr>
        <w:t xml:space="preserve">earch for and critically analyze recent peer-reviewed </w:t>
      </w:r>
      <w:r w:rsidR="00CE3E01" w:rsidRPr="00602538">
        <w:rPr>
          <w:sz w:val="22"/>
          <w:szCs w:val="22"/>
        </w:rPr>
        <w:t>neuro</w:t>
      </w:r>
      <w:r w:rsidR="00EB5506" w:rsidRPr="00602538">
        <w:rPr>
          <w:sz w:val="22"/>
          <w:szCs w:val="22"/>
        </w:rPr>
        <w:t xml:space="preserve">scientific research on them (the number of sources will vary by topic), and summarize what you have learned about the </w:t>
      </w:r>
      <w:r w:rsidR="00CE3E01" w:rsidRPr="00602538">
        <w:rPr>
          <w:sz w:val="22"/>
          <w:szCs w:val="22"/>
        </w:rPr>
        <w:t>neurobiological underpinnings of the factor</w:t>
      </w:r>
      <w:r w:rsidR="00EB5506" w:rsidRPr="00602538">
        <w:rPr>
          <w:sz w:val="22"/>
          <w:szCs w:val="22"/>
        </w:rPr>
        <w:t>, with implica</w:t>
      </w:r>
      <w:r w:rsidR="00CE3E01" w:rsidRPr="00602538">
        <w:rPr>
          <w:sz w:val="22"/>
          <w:szCs w:val="22"/>
        </w:rPr>
        <w:t xml:space="preserve">tions for social work </w:t>
      </w:r>
      <w:r w:rsidR="00EB5506" w:rsidRPr="00602538">
        <w:rPr>
          <w:sz w:val="22"/>
          <w:szCs w:val="22"/>
        </w:rPr>
        <w:t xml:space="preserve">practice, in </w:t>
      </w:r>
      <w:r w:rsidR="00133268" w:rsidRPr="00133268">
        <w:rPr>
          <w:b/>
          <w:sz w:val="22"/>
          <w:szCs w:val="22"/>
        </w:rPr>
        <w:t xml:space="preserve">no less than </w:t>
      </w:r>
      <w:r w:rsidRPr="00602538">
        <w:rPr>
          <w:b/>
          <w:sz w:val="22"/>
          <w:szCs w:val="22"/>
        </w:rPr>
        <w:t>10</w:t>
      </w:r>
      <w:r w:rsidR="00133268">
        <w:rPr>
          <w:b/>
          <w:sz w:val="22"/>
          <w:szCs w:val="22"/>
        </w:rPr>
        <w:t xml:space="preserve"> and no more than</w:t>
      </w:r>
      <w:r>
        <w:rPr>
          <w:b/>
          <w:sz w:val="22"/>
          <w:szCs w:val="22"/>
        </w:rPr>
        <w:t xml:space="preserve"> 15</w:t>
      </w:r>
      <w:r w:rsidR="00CE3E01" w:rsidRPr="00602538">
        <w:rPr>
          <w:b/>
          <w:sz w:val="22"/>
          <w:szCs w:val="22"/>
        </w:rPr>
        <w:t xml:space="preserve"> pages (APA style) plus</w:t>
      </w:r>
      <w:r w:rsidR="00EB5506" w:rsidRPr="00602538">
        <w:rPr>
          <w:b/>
          <w:sz w:val="22"/>
          <w:szCs w:val="22"/>
        </w:rPr>
        <w:t xml:space="preserve"> references</w:t>
      </w:r>
      <w:r w:rsidR="00036E29" w:rsidRPr="00602538">
        <w:rPr>
          <w:b/>
          <w:sz w:val="22"/>
          <w:szCs w:val="22"/>
        </w:rPr>
        <w:t xml:space="preserve"> due </w:t>
      </w:r>
      <w:r w:rsidR="004B2D9B">
        <w:rPr>
          <w:b/>
          <w:sz w:val="22"/>
          <w:szCs w:val="22"/>
        </w:rPr>
        <w:t>April 23</w:t>
      </w:r>
      <w:r w:rsidR="004B2D9B" w:rsidRPr="004B2D9B">
        <w:rPr>
          <w:b/>
          <w:sz w:val="22"/>
          <w:szCs w:val="22"/>
          <w:vertAlign w:val="superscript"/>
        </w:rPr>
        <w:t>rd</w:t>
      </w:r>
      <w:r w:rsidR="004B2D9B">
        <w:rPr>
          <w:b/>
          <w:sz w:val="22"/>
          <w:szCs w:val="22"/>
        </w:rPr>
        <w:t xml:space="preserve"> by the end of class</w:t>
      </w:r>
      <w:r w:rsidR="00036E29" w:rsidRPr="00602538">
        <w:rPr>
          <w:b/>
          <w:sz w:val="22"/>
          <w:szCs w:val="22"/>
        </w:rPr>
        <w:t xml:space="preserve">. </w:t>
      </w:r>
    </w:p>
    <w:p w:rsidR="00602538" w:rsidRDefault="00CE3E01" w:rsidP="00602538">
      <w:pPr>
        <w:ind w:left="1080"/>
        <w:rPr>
          <w:sz w:val="22"/>
          <w:szCs w:val="22"/>
        </w:rPr>
      </w:pPr>
      <w:r w:rsidRPr="0014633D">
        <w:rPr>
          <w:sz w:val="22"/>
          <w:szCs w:val="22"/>
        </w:rPr>
        <w:t xml:space="preserve">    Select one of the following topics (environmental factor is italicized</w:t>
      </w:r>
      <w:r w:rsidR="00E417A3">
        <w:rPr>
          <w:sz w:val="22"/>
          <w:szCs w:val="22"/>
        </w:rPr>
        <w:t>)</w:t>
      </w:r>
      <w:r w:rsidR="00EB5506" w:rsidRPr="0014633D">
        <w:rPr>
          <w:sz w:val="22"/>
          <w:szCs w:val="22"/>
        </w:rPr>
        <w:t>:</w:t>
      </w:r>
    </w:p>
    <w:p w:rsidR="00602538" w:rsidRDefault="00EB5506" w:rsidP="00602538">
      <w:pPr>
        <w:ind w:left="1980" w:hanging="540"/>
        <w:rPr>
          <w:sz w:val="22"/>
          <w:szCs w:val="22"/>
        </w:rPr>
      </w:pPr>
      <w:r w:rsidRPr="0014633D">
        <w:rPr>
          <w:sz w:val="22"/>
          <w:szCs w:val="22"/>
        </w:rPr>
        <w:t xml:space="preserve">1) Neurobiological underpinnings for the effects of prenatal </w:t>
      </w:r>
      <w:r w:rsidRPr="0014633D">
        <w:rPr>
          <w:i/>
          <w:sz w:val="22"/>
          <w:szCs w:val="22"/>
        </w:rPr>
        <w:t xml:space="preserve">maternal nutrition and breastfeeding </w:t>
      </w:r>
      <w:r w:rsidRPr="0014633D">
        <w:rPr>
          <w:sz w:val="22"/>
          <w:szCs w:val="22"/>
        </w:rPr>
        <w:t xml:space="preserve">on a selected domain of infant development (e.g., speech and language, cognitive, growth); </w:t>
      </w:r>
    </w:p>
    <w:p w:rsidR="00602538" w:rsidRDefault="00EB5506" w:rsidP="00602538">
      <w:pPr>
        <w:ind w:left="1980" w:hanging="540"/>
        <w:rPr>
          <w:sz w:val="22"/>
          <w:szCs w:val="22"/>
        </w:rPr>
      </w:pPr>
      <w:r w:rsidRPr="0014633D">
        <w:rPr>
          <w:sz w:val="22"/>
          <w:szCs w:val="22"/>
        </w:rPr>
        <w:t xml:space="preserve">2)  Child neurobiological underpinnings of “best fit” </w:t>
      </w:r>
      <w:r w:rsidRPr="0014633D">
        <w:rPr>
          <w:i/>
          <w:sz w:val="22"/>
          <w:szCs w:val="22"/>
        </w:rPr>
        <w:t>parental temperament and child-rearing practices</w:t>
      </w:r>
      <w:r w:rsidR="00CE3E01" w:rsidRPr="0014633D">
        <w:rPr>
          <w:sz w:val="22"/>
          <w:szCs w:val="22"/>
        </w:rPr>
        <w:t xml:space="preserve"> at specific brain development stages</w:t>
      </w:r>
      <w:r w:rsidRPr="0014633D">
        <w:rPr>
          <w:sz w:val="22"/>
          <w:szCs w:val="22"/>
        </w:rPr>
        <w:t xml:space="preserve"> (e.g., neonatal, infancy, toddlerhood);</w:t>
      </w:r>
      <w:r w:rsidR="00CE3E01" w:rsidRPr="0014633D">
        <w:rPr>
          <w:sz w:val="22"/>
          <w:szCs w:val="22"/>
        </w:rPr>
        <w:t xml:space="preserve"> </w:t>
      </w:r>
    </w:p>
    <w:p w:rsidR="00602538" w:rsidRDefault="00CE3E01" w:rsidP="00602538">
      <w:pPr>
        <w:ind w:left="1980" w:hanging="540"/>
        <w:rPr>
          <w:sz w:val="22"/>
          <w:szCs w:val="22"/>
        </w:rPr>
      </w:pPr>
      <w:r w:rsidRPr="0014633D">
        <w:rPr>
          <w:sz w:val="22"/>
          <w:szCs w:val="22"/>
        </w:rPr>
        <w:t xml:space="preserve">3) Neurobiological effects on development of a </w:t>
      </w:r>
      <w:r w:rsidRPr="0014633D">
        <w:rPr>
          <w:i/>
          <w:sz w:val="22"/>
          <w:szCs w:val="22"/>
        </w:rPr>
        <w:t>mild traumatic brain injury</w:t>
      </w:r>
      <w:r w:rsidRPr="0014633D">
        <w:rPr>
          <w:sz w:val="22"/>
          <w:szCs w:val="22"/>
        </w:rPr>
        <w:t xml:space="preserve"> experienced between the ages of 18-25</w:t>
      </w:r>
      <w:r w:rsidR="00B50E5F" w:rsidRPr="0014633D">
        <w:rPr>
          <w:sz w:val="22"/>
          <w:szCs w:val="22"/>
        </w:rPr>
        <w:t xml:space="preserve"> in a typically developing human</w:t>
      </w:r>
      <w:r w:rsidRPr="0014633D">
        <w:rPr>
          <w:sz w:val="22"/>
          <w:szCs w:val="22"/>
        </w:rPr>
        <w:t xml:space="preserve">; </w:t>
      </w:r>
    </w:p>
    <w:p w:rsidR="00602538" w:rsidRDefault="00CE3E01" w:rsidP="00602538">
      <w:pPr>
        <w:ind w:left="1980" w:hanging="540"/>
        <w:rPr>
          <w:sz w:val="22"/>
          <w:szCs w:val="22"/>
        </w:rPr>
      </w:pPr>
      <w:r w:rsidRPr="0014633D">
        <w:rPr>
          <w:sz w:val="22"/>
          <w:szCs w:val="22"/>
        </w:rPr>
        <w:t>4) Implications</w:t>
      </w:r>
      <w:r w:rsidR="00EB5506" w:rsidRPr="0014633D">
        <w:rPr>
          <w:sz w:val="22"/>
          <w:szCs w:val="22"/>
        </w:rPr>
        <w:t xml:space="preserve"> of typical</w:t>
      </w:r>
      <w:r w:rsidRPr="0014633D">
        <w:rPr>
          <w:sz w:val="22"/>
          <w:szCs w:val="22"/>
        </w:rPr>
        <w:t xml:space="preserve"> brain changes in</w:t>
      </w:r>
      <w:r w:rsidR="00EB5506" w:rsidRPr="0014633D">
        <w:rPr>
          <w:sz w:val="22"/>
          <w:szCs w:val="22"/>
        </w:rPr>
        <w:t xml:space="preserve"> aging for the effects of “best fit” </w:t>
      </w:r>
      <w:r w:rsidR="00EB5506" w:rsidRPr="0014633D">
        <w:rPr>
          <w:i/>
          <w:sz w:val="22"/>
          <w:szCs w:val="22"/>
        </w:rPr>
        <w:t>social support systems and environmental modifications</w:t>
      </w:r>
      <w:r w:rsidR="00EB5506" w:rsidRPr="0014633D">
        <w:rPr>
          <w:sz w:val="22"/>
          <w:szCs w:val="22"/>
        </w:rPr>
        <w:t xml:space="preserve"> for the elderly.  </w:t>
      </w:r>
    </w:p>
    <w:p w:rsidR="00602538" w:rsidRDefault="00EB5506" w:rsidP="00602538">
      <w:pPr>
        <w:ind w:left="1980" w:hanging="540"/>
        <w:rPr>
          <w:sz w:val="22"/>
          <w:szCs w:val="22"/>
        </w:rPr>
      </w:pPr>
      <w:r w:rsidRPr="0014633D">
        <w:rPr>
          <w:sz w:val="22"/>
          <w:szCs w:val="22"/>
        </w:rPr>
        <w:t xml:space="preserve">5) Neurobiological underpinnings for effects of </w:t>
      </w:r>
      <w:r w:rsidRPr="0014633D">
        <w:rPr>
          <w:i/>
          <w:sz w:val="22"/>
          <w:szCs w:val="22"/>
        </w:rPr>
        <w:t>substance abuse</w:t>
      </w:r>
      <w:r w:rsidRPr="0014633D">
        <w:rPr>
          <w:sz w:val="22"/>
          <w:szCs w:val="22"/>
        </w:rPr>
        <w:t xml:space="preserve"> and process of addiction at a specific life stage/age.</w:t>
      </w:r>
      <w:r w:rsidR="00B50E5F" w:rsidRPr="0014633D">
        <w:rPr>
          <w:sz w:val="22"/>
          <w:szCs w:val="22"/>
        </w:rPr>
        <w:t xml:space="preserve"> </w:t>
      </w:r>
    </w:p>
    <w:p w:rsidR="00EB5506" w:rsidRDefault="00B50E5F" w:rsidP="00602538">
      <w:pPr>
        <w:ind w:left="1980" w:hanging="540"/>
        <w:rPr>
          <w:i/>
          <w:sz w:val="22"/>
          <w:szCs w:val="22"/>
        </w:rPr>
      </w:pPr>
      <w:r w:rsidRPr="0014633D">
        <w:rPr>
          <w:sz w:val="22"/>
          <w:szCs w:val="22"/>
        </w:rPr>
        <w:t xml:space="preserve">6) Implications of the neuroscience evidence on the relationship between motor and perceptual development in infants for </w:t>
      </w:r>
      <w:r w:rsidRPr="0014633D">
        <w:rPr>
          <w:i/>
          <w:sz w:val="22"/>
          <w:szCs w:val="22"/>
        </w:rPr>
        <w:t>child-rearing environments.</w:t>
      </w:r>
    </w:p>
    <w:p w:rsidR="00133268" w:rsidRPr="00133268" w:rsidRDefault="00133268" w:rsidP="00133268">
      <w:pPr>
        <w:ind w:left="1080" w:hanging="540"/>
        <w:rPr>
          <w:b/>
          <w:sz w:val="22"/>
          <w:szCs w:val="22"/>
        </w:rPr>
      </w:pPr>
      <w:r w:rsidRPr="00133268">
        <w:rPr>
          <w:b/>
          <w:sz w:val="22"/>
          <w:szCs w:val="22"/>
        </w:rPr>
        <w:t>Note:</w:t>
      </w:r>
      <w:r>
        <w:rPr>
          <w:b/>
          <w:sz w:val="22"/>
          <w:szCs w:val="22"/>
        </w:rPr>
        <w:t xml:space="preserve">  All papers are to be handed in as hard copy</w:t>
      </w:r>
      <w:r w:rsidR="008805E4">
        <w:rPr>
          <w:b/>
          <w:sz w:val="22"/>
          <w:szCs w:val="22"/>
        </w:rPr>
        <w:t xml:space="preserve"> except as by special permission by the instructor.  ***No late papers will be accepted.***</w:t>
      </w:r>
    </w:p>
    <w:p w:rsidR="001D5AFF" w:rsidRPr="0014633D" w:rsidRDefault="001D5AFF" w:rsidP="00203F50">
      <w:pPr>
        <w:rPr>
          <w:sz w:val="22"/>
          <w:szCs w:val="22"/>
        </w:rPr>
      </w:pPr>
    </w:p>
    <w:p w:rsidR="00963151" w:rsidRPr="0014633D" w:rsidRDefault="00963151" w:rsidP="00963151">
      <w:pPr>
        <w:rPr>
          <w:sz w:val="22"/>
          <w:szCs w:val="22"/>
        </w:rPr>
      </w:pPr>
      <w:r w:rsidRPr="0014633D">
        <w:rPr>
          <w:b/>
          <w:sz w:val="22"/>
          <w:szCs w:val="22"/>
        </w:rPr>
        <w:t>VI</w:t>
      </w:r>
      <w:r w:rsidR="0005740F" w:rsidRPr="0014633D">
        <w:rPr>
          <w:b/>
          <w:sz w:val="22"/>
          <w:szCs w:val="22"/>
        </w:rPr>
        <w:t>. Grading</w:t>
      </w:r>
      <w:r w:rsidRPr="0014633D">
        <w:rPr>
          <w:b/>
          <w:sz w:val="22"/>
          <w:szCs w:val="22"/>
        </w:rPr>
        <w:t xml:space="preserve"> Policy</w:t>
      </w:r>
      <w:r w:rsidRPr="0014633D">
        <w:rPr>
          <w:sz w:val="22"/>
          <w:szCs w:val="22"/>
        </w:rPr>
        <w:t xml:space="preserve">: </w:t>
      </w:r>
    </w:p>
    <w:p w:rsidR="00645644" w:rsidRPr="0014633D" w:rsidRDefault="00645644" w:rsidP="00645644">
      <w:pPr>
        <w:rPr>
          <w:sz w:val="22"/>
          <w:szCs w:val="22"/>
        </w:rPr>
      </w:pPr>
      <w:r w:rsidRPr="0014633D">
        <w:rPr>
          <w:sz w:val="22"/>
          <w:szCs w:val="22"/>
        </w:rPr>
        <w:t xml:space="preserve">The following list of course requirements and percentages will be </w:t>
      </w:r>
      <w:r w:rsidR="0005740F" w:rsidRPr="0014633D">
        <w:rPr>
          <w:sz w:val="22"/>
          <w:szCs w:val="22"/>
        </w:rPr>
        <w:t>utilized:</w:t>
      </w:r>
    </w:p>
    <w:p w:rsidR="004B2D9B" w:rsidRDefault="00645644" w:rsidP="00645644">
      <w:pPr>
        <w:rPr>
          <w:sz w:val="22"/>
          <w:szCs w:val="22"/>
        </w:rPr>
      </w:pPr>
      <w:r w:rsidRPr="0014633D">
        <w:rPr>
          <w:sz w:val="22"/>
          <w:szCs w:val="22"/>
        </w:rPr>
        <w:tab/>
      </w:r>
      <w:r w:rsidR="004B2D9B">
        <w:rPr>
          <w:sz w:val="22"/>
          <w:szCs w:val="22"/>
        </w:rPr>
        <w:t>Journal Article Critiques</w:t>
      </w:r>
      <w:r w:rsidR="00F2410B">
        <w:rPr>
          <w:sz w:val="22"/>
          <w:szCs w:val="22"/>
        </w:rPr>
        <w:t xml:space="preserve"> (6)</w:t>
      </w:r>
      <w:r w:rsidR="00065AF8" w:rsidRPr="0014633D">
        <w:rPr>
          <w:sz w:val="22"/>
          <w:szCs w:val="22"/>
        </w:rPr>
        <w:t xml:space="preserve">                    </w:t>
      </w:r>
      <w:r w:rsidR="00A46148">
        <w:rPr>
          <w:sz w:val="22"/>
          <w:szCs w:val="22"/>
        </w:rPr>
        <w:t>50</w:t>
      </w:r>
      <w:r w:rsidR="00065AF8" w:rsidRPr="0014633D">
        <w:rPr>
          <w:sz w:val="22"/>
          <w:szCs w:val="22"/>
        </w:rPr>
        <w:t>%</w:t>
      </w:r>
    </w:p>
    <w:p w:rsidR="00645644" w:rsidRPr="0014633D" w:rsidRDefault="00A221F5" w:rsidP="00645644">
      <w:pPr>
        <w:rPr>
          <w:sz w:val="22"/>
          <w:szCs w:val="22"/>
        </w:rPr>
      </w:pPr>
      <w:r w:rsidRPr="0014633D">
        <w:rPr>
          <w:sz w:val="22"/>
          <w:szCs w:val="22"/>
        </w:rPr>
        <w:tab/>
      </w:r>
      <w:r w:rsidR="004B2D9B">
        <w:rPr>
          <w:sz w:val="22"/>
          <w:szCs w:val="22"/>
        </w:rPr>
        <w:t xml:space="preserve">Major </w:t>
      </w:r>
      <w:r w:rsidRPr="0014633D">
        <w:rPr>
          <w:sz w:val="22"/>
          <w:szCs w:val="22"/>
        </w:rPr>
        <w:t>Paper</w:t>
      </w:r>
      <w:r w:rsidRPr="0014633D">
        <w:rPr>
          <w:sz w:val="22"/>
          <w:szCs w:val="22"/>
        </w:rPr>
        <w:tab/>
      </w:r>
      <w:r w:rsidRPr="0014633D">
        <w:rPr>
          <w:sz w:val="22"/>
          <w:szCs w:val="22"/>
        </w:rPr>
        <w:tab/>
      </w:r>
      <w:r w:rsidRPr="0014633D">
        <w:rPr>
          <w:sz w:val="22"/>
          <w:szCs w:val="22"/>
        </w:rPr>
        <w:tab/>
      </w:r>
      <w:r w:rsidRPr="0014633D">
        <w:rPr>
          <w:sz w:val="22"/>
          <w:szCs w:val="22"/>
        </w:rPr>
        <w:tab/>
      </w:r>
      <w:r w:rsidR="004B2D9B">
        <w:rPr>
          <w:sz w:val="22"/>
          <w:szCs w:val="22"/>
        </w:rPr>
        <w:t>40</w:t>
      </w:r>
      <w:r w:rsidR="00065AF8" w:rsidRPr="0014633D">
        <w:rPr>
          <w:sz w:val="22"/>
          <w:szCs w:val="22"/>
        </w:rPr>
        <w:t>%</w:t>
      </w:r>
    </w:p>
    <w:p w:rsidR="00645644" w:rsidRPr="0014633D" w:rsidRDefault="00645644" w:rsidP="00645644">
      <w:pPr>
        <w:rPr>
          <w:sz w:val="22"/>
          <w:szCs w:val="22"/>
        </w:rPr>
      </w:pPr>
      <w:r w:rsidRPr="0014633D">
        <w:rPr>
          <w:sz w:val="22"/>
          <w:szCs w:val="22"/>
        </w:rPr>
        <w:tab/>
      </w:r>
      <w:r w:rsidR="004B2D9B">
        <w:rPr>
          <w:sz w:val="22"/>
          <w:szCs w:val="22"/>
        </w:rPr>
        <w:t>Class participation</w:t>
      </w:r>
      <w:r w:rsidR="004B2D9B">
        <w:rPr>
          <w:sz w:val="22"/>
          <w:szCs w:val="22"/>
        </w:rPr>
        <w:tab/>
      </w:r>
      <w:r w:rsidRPr="0014633D">
        <w:rPr>
          <w:sz w:val="22"/>
          <w:szCs w:val="22"/>
        </w:rPr>
        <w:tab/>
      </w:r>
      <w:r w:rsidRPr="0014633D">
        <w:rPr>
          <w:sz w:val="22"/>
          <w:szCs w:val="22"/>
        </w:rPr>
        <w:tab/>
      </w:r>
      <w:r w:rsidR="004B2D9B">
        <w:rPr>
          <w:sz w:val="22"/>
          <w:szCs w:val="22"/>
        </w:rPr>
        <w:t>10</w:t>
      </w:r>
      <w:r w:rsidRPr="0014633D">
        <w:rPr>
          <w:sz w:val="22"/>
          <w:szCs w:val="22"/>
        </w:rPr>
        <w:t>%</w:t>
      </w:r>
    </w:p>
    <w:p w:rsidR="004B2D9B" w:rsidRDefault="00645644" w:rsidP="00645644">
      <w:pPr>
        <w:rPr>
          <w:sz w:val="22"/>
          <w:szCs w:val="22"/>
          <w:u w:val="single"/>
        </w:rPr>
      </w:pPr>
      <w:r w:rsidRPr="0014633D">
        <w:rPr>
          <w:sz w:val="22"/>
          <w:szCs w:val="22"/>
        </w:rPr>
        <w:tab/>
      </w:r>
      <w:r w:rsidRPr="0014633D">
        <w:rPr>
          <w:sz w:val="22"/>
          <w:szCs w:val="22"/>
          <w:u w:val="single"/>
        </w:rPr>
        <w:tab/>
      </w:r>
      <w:r w:rsidRPr="0014633D">
        <w:rPr>
          <w:sz w:val="22"/>
          <w:szCs w:val="22"/>
          <w:u w:val="single"/>
        </w:rPr>
        <w:tab/>
      </w:r>
      <w:r w:rsidRPr="0014633D">
        <w:rPr>
          <w:sz w:val="22"/>
          <w:szCs w:val="22"/>
          <w:u w:val="single"/>
        </w:rPr>
        <w:tab/>
      </w:r>
      <w:r w:rsidRPr="0014633D">
        <w:rPr>
          <w:sz w:val="22"/>
          <w:szCs w:val="22"/>
          <w:u w:val="single"/>
        </w:rPr>
        <w:tab/>
      </w:r>
      <w:r w:rsidRPr="0014633D">
        <w:rPr>
          <w:sz w:val="22"/>
          <w:szCs w:val="22"/>
        </w:rPr>
        <w:tab/>
      </w:r>
      <w:r w:rsidRPr="0014633D">
        <w:rPr>
          <w:sz w:val="22"/>
          <w:szCs w:val="22"/>
          <w:u w:val="single"/>
        </w:rPr>
        <w:tab/>
      </w:r>
      <w:r w:rsidRPr="0014633D">
        <w:rPr>
          <w:sz w:val="22"/>
          <w:szCs w:val="22"/>
          <w:u w:val="single"/>
        </w:rPr>
        <w:tab/>
      </w:r>
      <w:r w:rsidRPr="0014633D">
        <w:rPr>
          <w:sz w:val="22"/>
          <w:szCs w:val="22"/>
          <w:u w:val="single"/>
        </w:rPr>
        <w:tab/>
      </w:r>
    </w:p>
    <w:p w:rsidR="00645644" w:rsidRPr="0014633D" w:rsidRDefault="00645644" w:rsidP="00645644">
      <w:pPr>
        <w:rPr>
          <w:sz w:val="22"/>
          <w:szCs w:val="22"/>
        </w:rPr>
      </w:pPr>
      <w:r w:rsidRPr="0014633D">
        <w:rPr>
          <w:sz w:val="22"/>
          <w:szCs w:val="22"/>
        </w:rPr>
        <w:tab/>
        <w:t>Total</w:t>
      </w:r>
      <w:r w:rsidRPr="0014633D">
        <w:rPr>
          <w:sz w:val="22"/>
          <w:szCs w:val="22"/>
        </w:rPr>
        <w:tab/>
      </w:r>
      <w:r w:rsidRPr="0014633D">
        <w:rPr>
          <w:sz w:val="22"/>
          <w:szCs w:val="22"/>
        </w:rPr>
        <w:tab/>
      </w:r>
      <w:r w:rsidRPr="0014633D">
        <w:rPr>
          <w:sz w:val="22"/>
          <w:szCs w:val="22"/>
        </w:rPr>
        <w:tab/>
      </w:r>
      <w:r w:rsidRPr="0014633D">
        <w:rPr>
          <w:sz w:val="22"/>
          <w:szCs w:val="22"/>
        </w:rPr>
        <w:tab/>
      </w:r>
      <w:r w:rsidRPr="0014633D">
        <w:rPr>
          <w:sz w:val="22"/>
          <w:szCs w:val="22"/>
        </w:rPr>
        <w:tab/>
        <w:t>100%</w:t>
      </w:r>
    </w:p>
    <w:p w:rsidR="00645644" w:rsidRPr="0014633D" w:rsidRDefault="00645644" w:rsidP="00645644">
      <w:pPr>
        <w:rPr>
          <w:sz w:val="22"/>
          <w:szCs w:val="22"/>
        </w:rPr>
      </w:pPr>
    </w:p>
    <w:p w:rsidR="00645644" w:rsidRPr="0014633D" w:rsidRDefault="00645644" w:rsidP="00645644">
      <w:pPr>
        <w:rPr>
          <w:sz w:val="22"/>
          <w:szCs w:val="22"/>
        </w:rPr>
      </w:pPr>
    </w:p>
    <w:p w:rsidR="00645644" w:rsidRPr="0014633D" w:rsidRDefault="00645644" w:rsidP="00645644">
      <w:pPr>
        <w:rPr>
          <w:sz w:val="22"/>
          <w:szCs w:val="22"/>
        </w:rPr>
      </w:pPr>
      <w:r w:rsidRPr="0014633D">
        <w:rPr>
          <w:sz w:val="22"/>
          <w:szCs w:val="22"/>
          <w:u w:val="single"/>
        </w:rPr>
        <w:t>Course Grading Scale</w:t>
      </w:r>
      <w:r w:rsidRPr="0014633D">
        <w:rPr>
          <w:sz w:val="22"/>
          <w:szCs w:val="22"/>
        </w:rPr>
        <w:t>.</w:t>
      </w:r>
    </w:p>
    <w:p w:rsidR="00645644" w:rsidRPr="0014633D" w:rsidRDefault="00645644" w:rsidP="00645644">
      <w:pPr>
        <w:rPr>
          <w:sz w:val="22"/>
          <w:szCs w:val="22"/>
        </w:rPr>
      </w:pPr>
    </w:p>
    <w:p w:rsidR="00645644" w:rsidRPr="0014633D" w:rsidRDefault="00645644" w:rsidP="00645644">
      <w:pPr>
        <w:rPr>
          <w:sz w:val="22"/>
          <w:szCs w:val="22"/>
        </w:rPr>
      </w:pPr>
      <w:r w:rsidRPr="0014633D">
        <w:rPr>
          <w:sz w:val="22"/>
          <w:szCs w:val="22"/>
        </w:rPr>
        <w:tab/>
        <w:t>The following scale will be used for calculating an overall course grade:</w:t>
      </w:r>
    </w:p>
    <w:p w:rsidR="00645644" w:rsidRPr="0014633D" w:rsidRDefault="00645644" w:rsidP="00645644">
      <w:pPr>
        <w:rPr>
          <w:sz w:val="22"/>
          <w:szCs w:val="22"/>
        </w:rPr>
      </w:pPr>
    </w:p>
    <w:p w:rsidR="00645644" w:rsidRPr="0014633D" w:rsidRDefault="00645644" w:rsidP="00645644">
      <w:pPr>
        <w:rPr>
          <w:sz w:val="22"/>
          <w:szCs w:val="22"/>
        </w:rPr>
      </w:pPr>
      <w:r w:rsidRPr="0014633D">
        <w:rPr>
          <w:sz w:val="22"/>
          <w:szCs w:val="22"/>
        </w:rPr>
        <w:tab/>
      </w:r>
      <w:r w:rsidRPr="0014633D">
        <w:rPr>
          <w:sz w:val="22"/>
          <w:szCs w:val="22"/>
        </w:rPr>
        <w:tab/>
      </w:r>
      <w:r w:rsidRPr="0014633D">
        <w:rPr>
          <w:sz w:val="22"/>
          <w:szCs w:val="22"/>
          <w:u w:val="single"/>
        </w:rPr>
        <w:t>Grade</w:t>
      </w:r>
      <w:r w:rsidRPr="0014633D">
        <w:rPr>
          <w:sz w:val="22"/>
          <w:szCs w:val="22"/>
        </w:rPr>
        <w:tab/>
      </w:r>
      <w:r w:rsidRPr="0014633D">
        <w:rPr>
          <w:sz w:val="22"/>
          <w:szCs w:val="22"/>
        </w:rPr>
        <w:tab/>
      </w:r>
      <w:r w:rsidRPr="0014633D">
        <w:rPr>
          <w:sz w:val="22"/>
          <w:szCs w:val="22"/>
        </w:rPr>
        <w:tab/>
      </w:r>
      <w:r w:rsidRPr="0014633D">
        <w:rPr>
          <w:sz w:val="22"/>
          <w:szCs w:val="22"/>
          <w:u w:val="single"/>
        </w:rPr>
        <w:t>Percentage</w:t>
      </w:r>
      <w:r w:rsidRPr="0014633D">
        <w:rPr>
          <w:sz w:val="22"/>
          <w:szCs w:val="22"/>
        </w:rPr>
        <w:tab/>
      </w:r>
      <w:r w:rsidRPr="0014633D">
        <w:rPr>
          <w:sz w:val="22"/>
          <w:szCs w:val="22"/>
        </w:rPr>
        <w:tab/>
      </w:r>
      <w:r w:rsidRPr="0014633D">
        <w:rPr>
          <w:sz w:val="22"/>
          <w:szCs w:val="22"/>
        </w:rPr>
        <w:tab/>
      </w:r>
      <w:r w:rsidRPr="0014633D">
        <w:rPr>
          <w:sz w:val="22"/>
          <w:szCs w:val="22"/>
          <w:u w:val="single"/>
        </w:rPr>
        <w:t>Points</w:t>
      </w:r>
    </w:p>
    <w:p w:rsidR="00645644" w:rsidRPr="0014633D" w:rsidRDefault="00645644" w:rsidP="00645644">
      <w:pPr>
        <w:rPr>
          <w:sz w:val="22"/>
          <w:szCs w:val="22"/>
        </w:rPr>
      </w:pPr>
    </w:p>
    <w:p w:rsidR="00645644" w:rsidRPr="0014633D" w:rsidRDefault="00645644" w:rsidP="00645644">
      <w:pPr>
        <w:rPr>
          <w:sz w:val="22"/>
          <w:szCs w:val="22"/>
        </w:rPr>
      </w:pPr>
      <w:r w:rsidRPr="0014633D">
        <w:rPr>
          <w:sz w:val="22"/>
          <w:szCs w:val="22"/>
        </w:rPr>
        <w:tab/>
      </w:r>
      <w:r w:rsidRPr="0014633D">
        <w:rPr>
          <w:sz w:val="22"/>
          <w:szCs w:val="22"/>
        </w:rPr>
        <w:tab/>
        <w:t>A</w:t>
      </w:r>
      <w:r w:rsidRPr="0014633D">
        <w:rPr>
          <w:sz w:val="22"/>
          <w:szCs w:val="22"/>
        </w:rPr>
        <w:tab/>
      </w:r>
      <w:r w:rsidRPr="0014633D">
        <w:rPr>
          <w:sz w:val="22"/>
          <w:szCs w:val="22"/>
        </w:rPr>
        <w:tab/>
      </w:r>
      <w:r w:rsidRPr="0014633D">
        <w:rPr>
          <w:sz w:val="22"/>
          <w:szCs w:val="22"/>
        </w:rPr>
        <w:tab/>
        <w:t>100% - 90%</w:t>
      </w:r>
      <w:r w:rsidR="004B2D9B">
        <w:rPr>
          <w:sz w:val="22"/>
          <w:szCs w:val="22"/>
        </w:rPr>
        <w:tab/>
      </w:r>
      <w:r w:rsidR="004B2D9B">
        <w:rPr>
          <w:sz w:val="22"/>
          <w:szCs w:val="22"/>
        </w:rPr>
        <w:tab/>
      </w:r>
      <w:r w:rsidR="004B2D9B">
        <w:rPr>
          <w:sz w:val="22"/>
          <w:szCs w:val="22"/>
        </w:rPr>
        <w:tab/>
      </w:r>
      <w:r w:rsidR="00E178F0">
        <w:rPr>
          <w:sz w:val="22"/>
          <w:szCs w:val="22"/>
        </w:rPr>
        <w:t xml:space="preserve">  </w:t>
      </w:r>
      <w:r w:rsidR="004B2D9B">
        <w:rPr>
          <w:sz w:val="22"/>
          <w:szCs w:val="22"/>
        </w:rPr>
        <w:t>4.0</w:t>
      </w:r>
    </w:p>
    <w:p w:rsidR="00645644" w:rsidRPr="0014633D" w:rsidRDefault="00645644" w:rsidP="00645644">
      <w:pPr>
        <w:rPr>
          <w:sz w:val="22"/>
          <w:szCs w:val="22"/>
        </w:rPr>
      </w:pPr>
      <w:r w:rsidRPr="0014633D">
        <w:rPr>
          <w:sz w:val="22"/>
          <w:szCs w:val="22"/>
        </w:rPr>
        <w:tab/>
      </w:r>
      <w:r w:rsidRPr="0014633D">
        <w:rPr>
          <w:sz w:val="22"/>
          <w:szCs w:val="22"/>
        </w:rPr>
        <w:tab/>
        <w:t>B</w:t>
      </w:r>
      <w:r w:rsidRPr="0014633D">
        <w:rPr>
          <w:sz w:val="22"/>
          <w:szCs w:val="22"/>
        </w:rPr>
        <w:tab/>
      </w:r>
      <w:r w:rsidRPr="0014633D">
        <w:rPr>
          <w:sz w:val="22"/>
          <w:szCs w:val="22"/>
        </w:rPr>
        <w:tab/>
      </w:r>
      <w:r w:rsidRPr="0014633D">
        <w:rPr>
          <w:sz w:val="22"/>
          <w:szCs w:val="22"/>
        </w:rPr>
        <w:tab/>
        <w:t>89% -80%</w:t>
      </w:r>
      <w:r w:rsidR="004B2D9B">
        <w:rPr>
          <w:sz w:val="22"/>
          <w:szCs w:val="22"/>
        </w:rPr>
        <w:tab/>
      </w:r>
      <w:r w:rsidR="004B2D9B">
        <w:rPr>
          <w:sz w:val="22"/>
          <w:szCs w:val="22"/>
        </w:rPr>
        <w:tab/>
      </w:r>
      <w:r w:rsidR="004B2D9B">
        <w:rPr>
          <w:sz w:val="22"/>
          <w:szCs w:val="22"/>
        </w:rPr>
        <w:tab/>
      </w:r>
      <w:r w:rsidR="00E178F0">
        <w:rPr>
          <w:sz w:val="22"/>
          <w:szCs w:val="22"/>
        </w:rPr>
        <w:t xml:space="preserve">  </w:t>
      </w:r>
      <w:r w:rsidR="004B2D9B">
        <w:rPr>
          <w:sz w:val="22"/>
          <w:szCs w:val="22"/>
        </w:rPr>
        <w:t>3.0</w:t>
      </w:r>
    </w:p>
    <w:p w:rsidR="00645644" w:rsidRPr="0014633D" w:rsidRDefault="00645644" w:rsidP="00645644">
      <w:pPr>
        <w:rPr>
          <w:sz w:val="22"/>
          <w:szCs w:val="22"/>
        </w:rPr>
      </w:pPr>
      <w:r w:rsidRPr="0014633D">
        <w:rPr>
          <w:sz w:val="22"/>
          <w:szCs w:val="22"/>
        </w:rPr>
        <w:tab/>
      </w:r>
      <w:r w:rsidRPr="0014633D">
        <w:rPr>
          <w:sz w:val="22"/>
          <w:szCs w:val="22"/>
        </w:rPr>
        <w:tab/>
        <w:t>C</w:t>
      </w:r>
      <w:r w:rsidRPr="0014633D">
        <w:rPr>
          <w:sz w:val="22"/>
          <w:szCs w:val="22"/>
        </w:rPr>
        <w:tab/>
      </w:r>
      <w:r w:rsidRPr="0014633D">
        <w:rPr>
          <w:sz w:val="22"/>
          <w:szCs w:val="22"/>
        </w:rPr>
        <w:tab/>
      </w:r>
      <w:r w:rsidRPr="0014633D">
        <w:rPr>
          <w:sz w:val="22"/>
          <w:szCs w:val="22"/>
        </w:rPr>
        <w:tab/>
        <w:t>79% -70%</w:t>
      </w:r>
      <w:r w:rsidR="004B2D9B">
        <w:rPr>
          <w:sz w:val="22"/>
          <w:szCs w:val="22"/>
        </w:rPr>
        <w:tab/>
      </w:r>
      <w:r w:rsidR="004B2D9B">
        <w:rPr>
          <w:sz w:val="22"/>
          <w:szCs w:val="22"/>
        </w:rPr>
        <w:tab/>
      </w:r>
      <w:r w:rsidR="004B2D9B">
        <w:rPr>
          <w:sz w:val="22"/>
          <w:szCs w:val="22"/>
        </w:rPr>
        <w:tab/>
      </w:r>
      <w:r w:rsidR="00E178F0">
        <w:rPr>
          <w:sz w:val="22"/>
          <w:szCs w:val="22"/>
        </w:rPr>
        <w:t xml:space="preserve">  </w:t>
      </w:r>
      <w:r w:rsidR="004B2D9B">
        <w:rPr>
          <w:sz w:val="22"/>
          <w:szCs w:val="22"/>
        </w:rPr>
        <w:t>2.0</w:t>
      </w:r>
    </w:p>
    <w:p w:rsidR="00645644" w:rsidRPr="0014633D" w:rsidRDefault="00645644" w:rsidP="00645644">
      <w:pPr>
        <w:rPr>
          <w:sz w:val="22"/>
          <w:szCs w:val="22"/>
        </w:rPr>
      </w:pPr>
      <w:r w:rsidRPr="0014633D">
        <w:rPr>
          <w:sz w:val="22"/>
          <w:szCs w:val="22"/>
        </w:rPr>
        <w:tab/>
      </w:r>
      <w:r w:rsidRPr="0014633D">
        <w:rPr>
          <w:sz w:val="22"/>
          <w:szCs w:val="22"/>
        </w:rPr>
        <w:tab/>
        <w:t>D</w:t>
      </w:r>
      <w:r w:rsidRPr="0014633D">
        <w:rPr>
          <w:sz w:val="22"/>
          <w:szCs w:val="22"/>
        </w:rPr>
        <w:tab/>
      </w:r>
      <w:r w:rsidRPr="0014633D">
        <w:rPr>
          <w:sz w:val="22"/>
          <w:szCs w:val="22"/>
        </w:rPr>
        <w:tab/>
      </w:r>
      <w:r w:rsidRPr="0014633D">
        <w:rPr>
          <w:sz w:val="22"/>
          <w:szCs w:val="22"/>
        </w:rPr>
        <w:tab/>
        <w:t>69% - 60%</w:t>
      </w:r>
      <w:r w:rsidR="004B2D9B">
        <w:rPr>
          <w:sz w:val="22"/>
          <w:szCs w:val="22"/>
        </w:rPr>
        <w:tab/>
      </w:r>
      <w:r w:rsidR="004B2D9B">
        <w:rPr>
          <w:sz w:val="22"/>
          <w:szCs w:val="22"/>
        </w:rPr>
        <w:tab/>
      </w:r>
      <w:r w:rsidR="004B2D9B">
        <w:rPr>
          <w:sz w:val="22"/>
          <w:szCs w:val="22"/>
        </w:rPr>
        <w:tab/>
      </w:r>
      <w:r w:rsidR="00E178F0">
        <w:rPr>
          <w:sz w:val="22"/>
          <w:szCs w:val="22"/>
        </w:rPr>
        <w:t xml:space="preserve">  </w:t>
      </w:r>
      <w:r w:rsidR="004B2D9B">
        <w:rPr>
          <w:sz w:val="22"/>
          <w:szCs w:val="22"/>
        </w:rPr>
        <w:t>1.0</w:t>
      </w:r>
    </w:p>
    <w:p w:rsidR="00645644" w:rsidRPr="0014633D" w:rsidRDefault="00645644" w:rsidP="00645644">
      <w:pPr>
        <w:rPr>
          <w:sz w:val="22"/>
          <w:szCs w:val="22"/>
        </w:rPr>
      </w:pPr>
      <w:r w:rsidRPr="0014633D">
        <w:rPr>
          <w:sz w:val="22"/>
          <w:szCs w:val="22"/>
        </w:rPr>
        <w:tab/>
      </w:r>
      <w:r w:rsidRPr="0014633D">
        <w:rPr>
          <w:sz w:val="22"/>
          <w:szCs w:val="22"/>
        </w:rPr>
        <w:tab/>
        <w:t>F</w:t>
      </w:r>
      <w:r w:rsidRPr="0014633D">
        <w:rPr>
          <w:sz w:val="22"/>
          <w:szCs w:val="22"/>
        </w:rPr>
        <w:tab/>
      </w:r>
      <w:r w:rsidRPr="0014633D">
        <w:rPr>
          <w:sz w:val="22"/>
          <w:szCs w:val="22"/>
        </w:rPr>
        <w:tab/>
      </w:r>
      <w:r w:rsidRPr="0014633D">
        <w:rPr>
          <w:sz w:val="22"/>
          <w:szCs w:val="22"/>
        </w:rPr>
        <w:tab/>
        <w:t>59% and below</w:t>
      </w:r>
      <w:r w:rsidR="004B2D9B">
        <w:rPr>
          <w:sz w:val="22"/>
          <w:szCs w:val="22"/>
        </w:rPr>
        <w:tab/>
      </w:r>
      <w:r w:rsidR="004B2D9B">
        <w:rPr>
          <w:sz w:val="22"/>
          <w:szCs w:val="22"/>
        </w:rPr>
        <w:tab/>
      </w:r>
      <w:r w:rsidR="004B2D9B">
        <w:rPr>
          <w:sz w:val="22"/>
          <w:szCs w:val="22"/>
        </w:rPr>
        <w:tab/>
      </w:r>
      <w:r w:rsidR="00E178F0">
        <w:rPr>
          <w:sz w:val="22"/>
          <w:szCs w:val="22"/>
        </w:rPr>
        <w:t xml:space="preserve">  </w:t>
      </w:r>
      <w:r w:rsidR="004B2D9B">
        <w:rPr>
          <w:sz w:val="22"/>
          <w:szCs w:val="22"/>
        </w:rPr>
        <w:t>0.0</w:t>
      </w:r>
    </w:p>
    <w:p w:rsidR="00645644" w:rsidRPr="0014633D" w:rsidRDefault="000252EA" w:rsidP="00645644">
      <w:pPr>
        <w:rPr>
          <w:sz w:val="22"/>
          <w:szCs w:val="22"/>
        </w:rPr>
      </w:pPr>
      <w:r w:rsidRPr="0014633D">
        <w:rPr>
          <w:sz w:val="22"/>
          <w:szCs w:val="22"/>
        </w:rPr>
        <w:t xml:space="preserve"> </w:t>
      </w:r>
    </w:p>
    <w:p w:rsidR="00645644" w:rsidRPr="0014633D" w:rsidRDefault="00645644" w:rsidP="00645644">
      <w:pPr>
        <w:rPr>
          <w:sz w:val="22"/>
          <w:szCs w:val="22"/>
        </w:rPr>
      </w:pPr>
      <w:r w:rsidRPr="0014633D">
        <w:rPr>
          <w:b/>
          <w:sz w:val="22"/>
          <w:szCs w:val="22"/>
        </w:rPr>
        <w:t>VII</w:t>
      </w:r>
      <w:r w:rsidR="0005740F" w:rsidRPr="0014633D">
        <w:rPr>
          <w:b/>
          <w:sz w:val="22"/>
          <w:szCs w:val="22"/>
        </w:rPr>
        <w:t>. Attendance</w:t>
      </w:r>
      <w:r w:rsidRPr="0014633D">
        <w:rPr>
          <w:b/>
          <w:sz w:val="22"/>
          <w:szCs w:val="22"/>
        </w:rPr>
        <w:t xml:space="preserve"> Policy:  </w:t>
      </w:r>
      <w:r w:rsidR="00E178F0" w:rsidRPr="00C862F4">
        <w:t>It is expected that you attend class and participate in class discussions.  Each class missed is a significant loss of instruction.  Three absences will not be penalized; however, each class beyond the three will result in a 5% drop in you</w:t>
      </w:r>
      <w:r w:rsidR="00E178F0">
        <w:t>r</w:t>
      </w:r>
      <w:r w:rsidR="00E178F0" w:rsidRPr="00C862F4">
        <w:t xml:space="preserve"> final grade for each class missed.</w:t>
      </w:r>
    </w:p>
    <w:p w:rsidR="00645644" w:rsidRPr="0014633D" w:rsidRDefault="00645644" w:rsidP="00645644">
      <w:pPr>
        <w:rPr>
          <w:sz w:val="22"/>
          <w:szCs w:val="22"/>
        </w:rPr>
      </w:pPr>
    </w:p>
    <w:p w:rsidR="006D2964" w:rsidRPr="0014633D" w:rsidRDefault="00E178F0" w:rsidP="006D2964">
      <w:pPr>
        <w:pStyle w:val="NormalWeb"/>
        <w:spacing w:before="0" w:beforeAutospacing="0" w:after="0" w:afterAutospacing="0"/>
        <w:rPr>
          <w:sz w:val="22"/>
          <w:szCs w:val="22"/>
        </w:rPr>
      </w:pPr>
      <w:r>
        <w:rPr>
          <w:b/>
          <w:sz w:val="22"/>
          <w:szCs w:val="22"/>
        </w:rPr>
        <w:lastRenderedPageBreak/>
        <w:t>VIII</w:t>
      </w:r>
      <w:r w:rsidR="0005740F" w:rsidRPr="0014633D">
        <w:rPr>
          <w:b/>
          <w:sz w:val="22"/>
          <w:szCs w:val="22"/>
        </w:rPr>
        <w:t>. Drop</w:t>
      </w:r>
      <w:r w:rsidR="00963151" w:rsidRPr="0014633D">
        <w:rPr>
          <w:b/>
          <w:sz w:val="22"/>
          <w:szCs w:val="22"/>
        </w:rPr>
        <w:t xml:space="preserve"> Policy:  </w:t>
      </w:r>
      <w:r w:rsidR="006D2964" w:rsidRPr="0014633D">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6D2964" w:rsidRPr="0014633D">
        <w:rPr>
          <w:rStyle w:val="Strong"/>
          <w:sz w:val="22"/>
          <w:szCs w:val="22"/>
        </w:rPr>
        <w:t>Students will not be automatically dropped for non-attendance</w:t>
      </w:r>
      <w:r w:rsidR="006D2964" w:rsidRPr="0014633D">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006D2964" w:rsidRPr="0014633D">
          <w:rPr>
            <w:rStyle w:val="Hyperlink"/>
            <w:sz w:val="22"/>
            <w:szCs w:val="22"/>
          </w:rPr>
          <w:t>http://wweb.uta.edu/aao/fao/</w:t>
        </w:r>
      </w:hyperlink>
      <w:r w:rsidR="006D2964" w:rsidRPr="0014633D">
        <w:rPr>
          <w:sz w:val="22"/>
          <w:szCs w:val="22"/>
        </w:rPr>
        <w:t>).</w:t>
      </w:r>
    </w:p>
    <w:p w:rsidR="00645644" w:rsidRPr="0014633D" w:rsidRDefault="00645644" w:rsidP="00963151">
      <w:pPr>
        <w:rPr>
          <w:b/>
          <w:bCs/>
          <w:color w:val="000000"/>
          <w:sz w:val="22"/>
          <w:szCs w:val="22"/>
        </w:rPr>
      </w:pPr>
    </w:p>
    <w:p w:rsidR="006D2964" w:rsidRPr="0014633D" w:rsidRDefault="00E178F0" w:rsidP="006D2964">
      <w:pPr>
        <w:pStyle w:val="NormalWeb"/>
        <w:spacing w:before="0" w:beforeAutospacing="0" w:after="0" w:afterAutospacing="0"/>
        <w:rPr>
          <w:sz w:val="22"/>
          <w:szCs w:val="22"/>
        </w:rPr>
      </w:pPr>
      <w:r>
        <w:rPr>
          <w:b/>
          <w:bCs/>
          <w:color w:val="000000"/>
          <w:sz w:val="22"/>
          <w:szCs w:val="22"/>
        </w:rPr>
        <w:t>I</w:t>
      </w:r>
      <w:r w:rsidR="00963151" w:rsidRPr="0014633D">
        <w:rPr>
          <w:b/>
          <w:bCs/>
          <w:color w:val="000000"/>
          <w:sz w:val="22"/>
          <w:szCs w:val="22"/>
        </w:rPr>
        <w:t>X</w:t>
      </w:r>
      <w:r w:rsidR="006D2964" w:rsidRPr="0014633D">
        <w:rPr>
          <w:b/>
          <w:bCs/>
          <w:color w:val="000000"/>
          <w:sz w:val="22"/>
          <w:szCs w:val="22"/>
        </w:rPr>
        <w:t>.</w:t>
      </w:r>
      <w:r w:rsidR="006D2964" w:rsidRPr="0014633D">
        <w:rPr>
          <w:b/>
          <w:bCs/>
          <w:sz w:val="22"/>
          <w:szCs w:val="22"/>
        </w:rPr>
        <w:t xml:space="preserve"> Americans with Disabilities Act: </w:t>
      </w:r>
      <w:r w:rsidR="006D2964" w:rsidRPr="0014633D">
        <w:rPr>
          <w:sz w:val="22"/>
          <w:szCs w:val="22"/>
        </w:rPr>
        <w:t xml:space="preserve">The University of Texas at Arlington is on record as being committed to both the spirit and letter of all federal equal opportunity legislation, including the </w:t>
      </w:r>
      <w:r w:rsidR="006D2964" w:rsidRPr="0014633D">
        <w:rPr>
          <w:i/>
          <w:iCs/>
          <w:sz w:val="22"/>
          <w:szCs w:val="22"/>
        </w:rPr>
        <w:t>Americans with Disabilities Act (ADA)</w:t>
      </w:r>
      <w:r w:rsidR="006D2964" w:rsidRPr="0014633D">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6D2964" w:rsidRPr="0014633D">
          <w:rPr>
            <w:rStyle w:val="Hyperlink"/>
            <w:sz w:val="22"/>
            <w:szCs w:val="22"/>
          </w:rPr>
          <w:t>www.uta.edu/disability</w:t>
        </w:r>
      </w:hyperlink>
      <w:r w:rsidR="006D2964" w:rsidRPr="0014633D">
        <w:rPr>
          <w:sz w:val="22"/>
          <w:szCs w:val="22"/>
        </w:rPr>
        <w:t xml:space="preserve"> or by calling the Office for Students with Disabilities at (817) 272-3364.</w:t>
      </w:r>
    </w:p>
    <w:p w:rsidR="006D2964" w:rsidRPr="0014633D" w:rsidRDefault="006D2964" w:rsidP="006D2964">
      <w:pPr>
        <w:rPr>
          <w:sz w:val="22"/>
          <w:szCs w:val="22"/>
        </w:rPr>
      </w:pPr>
    </w:p>
    <w:p w:rsidR="006D2964" w:rsidRPr="0014633D" w:rsidRDefault="00E178F0" w:rsidP="006D2964">
      <w:pPr>
        <w:keepNext/>
        <w:rPr>
          <w:sz w:val="22"/>
          <w:szCs w:val="22"/>
        </w:rPr>
      </w:pPr>
      <w:r>
        <w:rPr>
          <w:b/>
          <w:bCs/>
          <w:sz w:val="22"/>
          <w:szCs w:val="22"/>
        </w:rPr>
        <w:t xml:space="preserve">X.  </w:t>
      </w:r>
      <w:r w:rsidR="006D2964" w:rsidRPr="0014633D">
        <w:rPr>
          <w:b/>
          <w:bCs/>
          <w:sz w:val="22"/>
          <w:szCs w:val="22"/>
        </w:rPr>
        <w:t xml:space="preserve">Academic Integrity: </w:t>
      </w:r>
      <w:r w:rsidR="006D2964" w:rsidRPr="0014633D">
        <w:rPr>
          <w:sz w:val="22"/>
          <w:szCs w:val="22"/>
        </w:rPr>
        <w:t>Students enrolled in this course are expected to adhere to the UT Arlington Honor Code:</w:t>
      </w:r>
    </w:p>
    <w:p w:rsidR="006D2964" w:rsidRPr="0014633D" w:rsidRDefault="006D2964" w:rsidP="006D2964">
      <w:pPr>
        <w:keepNext/>
        <w:rPr>
          <w:sz w:val="22"/>
          <w:szCs w:val="22"/>
        </w:rPr>
      </w:pPr>
    </w:p>
    <w:p w:rsidR="006D2964" w:rsidRPr="0014633D" w:rsidRDefault="006D2964" w:rsidP="006D2964">
      <w:pPr>
        <w:pStyle w:val="Default"/>
        <w:spacing w:after="80"/>
        <w:ind w:left="720" w:right="432"/>
        <w:jc w:val="both"/>
        <w:rPr>
          <w:i/>
          <w:sz w:val="22"/>
          <w:szCs w:val="22"/>
        </w:rPr>
      </w:pPr>
      <w:r w:rsidRPr="0014633D">
        <w:rPr>
          <w:i/>
          <w:sz w:val="22"/>
          <w:szCs w:val="22"/>
        </w:rPr>
        <w:t xml:space="preserve">I pledge, on my honor, to uphold UT Arlington’s tradition of academic integrity, a tradition that values hard work and honest effort in the pursuit of academic excellence. </w:t>
      </w:r>
    </w:p>
    <w:p w:rsidR="006D2964" w:rsidRPr="0014633D" w:rsidRDefault="006D2964" w:rsidP="006D2964">
      <w:pPr>
        <w:pStyle w:val="Default"/>
        <w:spacing w:after="80"/>
        <w:ind w:left="720" w:right="432"/>
        <w:jc w:val="both"/>
        <w:rPr>
          <w:i/>
          <w:sz w:val="22"/>
          <w:szCs w:val="22"/>
        </w:rPr>
      </w:pPr>
      <w:r w:rsidRPr="0014633D">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D2964" w:rsidRPr="0014633D" w:rsidRDefault="006D2964" w:rsidP="006D2964">
      <w:pPr>
        <w:keepNext/>
        <w:rPr>
          <w:sz w:val="22"/>
          <w:szCs w:val="22"/>
        </w:rPr>
      </w:pPr>
    </w:p>
    <w:p w:rsidR="006D2964" w:rsidRPr="0014633D" w:rsidRDefault="006D2964" w:rsidP="006D2964">
      <w:pPr>
        <w:keepNext/>
        <w:rPr>
          <w:sz w:val="22"/>
          <w:szCs w:val="22"/>
        </w:rPr>
      </w:pPr>
      <w:r w:rsidRPr="0014633D">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4633D">
        <w:rPr>
          <w:i/>
          <w:sz w:val="22"/>
          <w:szCs w:val="22"/>
        </w:rPr>
        <w:t>Regents’ Rule</w:t>
      </w:r>
      <w:r w:rsidRPr="0014633D">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D2964" w:rsidRPr="0014633D" w:rsidRDefault="006D2964" w:rsidP="006D2964">
      <w:pPr>
        <w:rPr>
          <w:sz w:val="22"/>
          <w:szCs w:val="22"/>
        </w:rPr>
      </w:pPr>
    </w:p>
    <w:p w:rsidR="002E259C" w:rsidRDefault="00963151" w:rsidP="009C6AFA">
      <w:pPr>
        <w:pStyle w:val="NoSpacing"/>
        <w:rPr>
          <w:sz w:val="22"/>
          <w:szCs w:val="22"/>
        </w:rPr>
      </w:pPr>
      <w:r w:rsidRPr="009C6AFA">
        <w:rPr>
          <w:b/>
          <w:color w:val="000000"/>
          <w:sz w:val="22"/>
          <w:szCs w:val="22"/>
        </w:rPr>
        <w:t>XII</w:t>
      </w:r>
      <w:r w:rsidR="0005740F" w:rsidRPr="009C6AFA">
        <w:rPr>
          <w:color w:val="000000"/>
          <w:sz w:val="22"/>
          <w:szCs w:val="22"/>
        </w:rPr>
        <w:t xml:space="preserve">. </w:t>
      </w:r>
      <w:r w:rsidR="002E259C" w:rsidRPr="009C6AFA">
        <w:rPr>
          <w:b/>
          <w:bCs/>
          <w:sz w:val="22"/>
          <w:szCs w:val="22"/>
        </w:rPr>
        <w:t>Student Support Services</w:t>
      </w:r>
      <w:r w:rsidR="002E259C" w:rsidRPr="009C6AFA">
        <w:rPr>
          <w:sz w:val="22"/>
          <w:szCs w:val="22"/>
        </w:rPr>
        <w:t>:</w:t>
      </w:r>
      <w:r w:rsidR="002E259C" w:rsidRPr="009C6AFA">
        <w:rPr>
          <w:b/>
          <w:bCs/>
          <w:sz w:val="22"/>
          <w:szCs w:val="22"/>
        </w:rPr>
        <w:t xml:space="preserve"> </w:t>
      </w:r>
      <w:r w:rsidR="002E259C" w:rsidRPr="009C6AFA">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002E259C" w:rsidRPr="009C6AFA">
          <w:rPr>
            <w:rStyle w:val="Hyperlink"/>
            <w:sz w:val="22"/>
            <w:szCs w:val="22"/>
          </w:rPr>
          <w:t>resources@uta.edu</w:t>
        </w:r>
      </w:hyperlink>
      <w:r w:rsidR="002E259C" w:rsidRPr="009C6AFA">
        <w:rPr>
          <w:sz w:val="22"/>
          <w:szCs w:val="22"/>
        </w:rPr>
        <w:t xml:space="preserve">, or view the information at </w:t>
      </w:r>
      <w:hyperlink r:id="rId11" w:history="1">
        <w:r w:rsidR="002E259C" w:rsidRPr="009C6AFA">
          <w:rPr>
            <w:rStyle w:val="Hyperlink"/>
            <w:sz w:val="22"/>
            <w:szCs w:val="22"/>
          </w:rPr>
          <w:t>www.uta.edu/resources</w:t>
        </w:r>
      </w:hyperlink>
      <w:r w:rsidR="002E259C" w:rsidRPr="009C6AFA">
        <w:rPr>
          <w:sz w:val="22"/>
          <w:szCs w:val="22"/>
        </w:rPr>
        <w:t>.</w:t>
      </w:r>
    </w:p>
    <w:p w:rsidR="009C6AFA" w:rsidRDefault="009C6AFA" w:rsidP="009C6AFA">
      <w:pPr>
        <w:pStyle w:val="NoSpacing"/>
        <w:rPr>
          <w:sz w:val="22"/>
          <w:szCs w:val="22"/>
        </w:rPr>
      </w:pPr>
      <w:r>
        <w:rPr>
          <w:sz w:val="22"/>
          <w:szCs w:val="22"/>
        </w:rPr>
        <w:tab/>
        <w:t xml:space="preserve">For writing assistance, Dr. Chris Kilgore is available to critique writing and to provide any other writing help you may need.  He can be reached at </w:t>
      </w:r>
      <w:hyperlink r:id="rId12" w:history="1">
        <w:r w:rsidRPr="00764D55">
          <w:rPr>
            <w:rStyle w:val="Hyperlink"/>
            <w:sz w:val="22"/>
            <w:szCs w:val="22"/>
          </w:rPr>
          <w:t>ChrisKilgore@uta.edu</w:t>
        </w:r>
      </w:hyperlink>
      <w:r>
        <w:rPr>
          <w:sz w:val="22"/>
          <w:szCs w:val="22"/>
        </w:rPr>
        <w:t>.</w:t>
      </w:r>
    </w:p>
    <w:p w:rsidR="009C6AFA" w:rsidRDefault="009C6AFA" w:rsidP="009C6AFA">
      <w:pPr>
        <w:pStyle w:val="NoSpacing"/>
        <w:rPr>
          <w:sz w:val="22"/>
          <w:szCs w:val="22"/>
        </w:rPr>
      </w:pPr>
    </w:p>
    <w:p w:rsidR="002E259C" w:rsidRDefault="00E178F0" w:rsidP="002E259C">
      <w:pPr>
        <w:rPr>
          <w:sz w:val="22"/>
          <w:szCs w:val="22"/>
        </w:rPr>
      </w:pPr>
      <w:r>
        <w:rPr>
          <w:b/>
          <w:sz w:val="22"/>
          <w:szCs w:val="22"/>
        </w:rPr>
        <w:t xml:space="preserve">XIII.  </w:t>
      </w:r>
      <w:r w:rsidR="002E259C" w:rsidRPr="0014633D">
        <w:rPr>
          <w:b/>
          <w:sz w:val="22"/>
          <w:szCs w:val="22"/>
        </w:rPr>
        <w:t xml:space="preserve">Electronic Communication: </w:t>
      </w:r>
      <w:r w:rsidR="002E259C" w:rsidRPr="0014633D">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w:t>
      </w:r>
      <w:r w:rsidR="002E259C" w:rsidRPr="0014633D">
        <w:rPr>
          <w:sz w:val="22"/>
          <w:szCs w:val="22"/>
        </w:rPr>
        <w:lastRenderedPageBreak/>
        <w:t xml:space="preserve">account and are responsible for checking the inbox regularly. There is no additional charge to students for using this account, which remains active even after graduation. Information about activating and using MavMail is available at </w:t>
      </w:r>
      <w:hyperlink r:id="rId13" w:history="1">
        <w:r w:rsidR="002E259C" w:rsidRPr="0014633D">
          <w:rPr>
            <w:rStyle w:val="Hyperlink"/>
            <w:sz w:val="22"/>
            <w:szCs w:val="22"/>
          </w:rPr>
          <w:t>http://www.uta.edu/oit/cs/email/mavmail.php</w:t>
        </w:r>
      </w:hyperlink>
      <w:r w:rsidR="002E259C" w:rsidRPr="0014633D">
        <w:rPr>
          <w:sz w:val="22"/>
          <w:szCs w:val="22"/>
        </w:rPr>
        <w:t>.</w:t>
      </w:r>
    </w:p>
    <w:p w:rsidR="00E109ED" w:rsidRDefault="00E109ED" w:rsidP="00E109ED">
      <w:pPr>
        <w:pStyle w:val="NoSpacing"/>
        <w:rPr>
          <w:b/>
          <w:i/>
          <w:sz w:val="22"/>
          <w:szCs w:val="22"/>
        </w:rPr>
      </w:pPr>
      <w:r>
        <w:tab/>
      </w:r>
      <w:r>
        <w:rPr>
          <w:b/>
        </w:rPr>
        <w:t xml:space="preserve">Although I do understand our heavy reliance on computers, use of electronic equipment in this class is not allowed (except audio/video recording devices).  This includes laptop and tablet computers, music players, and cell phones (smart or otherwise).  It is distracting and disrespectful to me and to others in the class.  If you have a </w:t>
      </w:r>
      <w:r>
        <w:rPr>
          <w:b/>
          <w:i/>
        </w:rPr>
        <w:t>bon fide</w:t>
      </w:r>
      <w:r>
        <w:rPr>
          <w:b/>
        </w:rPr>
        <w:t xml:space="preserve"> emergency, please leave the classroom and take the call elsewhere.  On the other hand if you are seen using your electronic devices you will be asked to leave for that class and that will be counted as an absence.</w:t>
      </w:r>
    </w:p>
    <w:p w:rsidR="002E259C" w:rsidRPr="0014633D" w:rsidRDefault="002E259C" w:rsidP="002E259C">
      <w:pPr>
        <w:rPr>
          <w:sz w:val="22"/>
          <w:szCs w:val="22"/>
        </w:rPr>
      </w:pPr>
    </w:p>
    <w:p w:rsidR="002E259C" w:rsidRPr="0014633D" w:rsidRDefault="00E178F0" w:rsidP="002E259C">
      <w:pPr>
        <w:autoSpaceDE w:val="0"/>
        <w:autoSpaceDN w:val="0"/>
        <w:adjustRightInd w:val="0"/>
        <w:rPr>
          <w:sz w:val="22"/>
          <w:szCs w:val="22"/>
        </w:rPr>
      </w:pPr>
      <w:r>
        <w:rPr>
          <w:b/>
          <w:sz w:val="22"/>
          <w:szCs w:val="22"/>
        </w:rPr>
        <w:t xml:space="preserve">XIV.  </w:t>
      </w:r>
      <w:r w:rsidR="002E259C" w:rsidRPr="0014633D">
        <w:rPr>
          <w:b/>
          <w:sz w:val="22"/>
          <w:szCs w:val="22"/>
        </w:rPr>
        <w:t xml:space="preserve">Student Feedback Survey: </w:t>
      </w:r>
      <w:r w:rsidR="002E259C" w:rsidRPr="0014633D">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002E259C" w:rsidRPr="0014633D">
          <w:rPr>
            <w:rStyle w:val="Hyperlink"/>
            <w:bCs/>
            <w:sz w:val="22"/>
            <w:szCs w:val="22"/>
          </w:rPr>
          <w:t>http://www.uta.edu/sfs</w:t>
        </w:r>
      </w:hyperlink>
      <w:r w:rsidR="002E259C" w:rsidRPr="0014633D">
        <w:rPr>
          <w:bCs/>
          <w:sz w:val="22"/>
          <w:szCs w:val="22"/>
        </w:rPr>
        <w:t>.</w:t>
      </w:r>
    </w:p>
    <w:p w:rsidR="002E259C" w:rsidRPr="0014633D" w:rsidRDefault="002E259C" w:rsidP="002E259C">
      <w:pPr>
        <w:rPr>
          <w:b/>
          <w:bCs/>
          <w:sz w:val="22"/>
          <w:szCs w:val="22"/>
        </w:rPr>
      </w:pPr>
    </w:p>
    <w:p w:rsidR="002E259C" w:rsidRPr="0014633D" w:rsidRDefault="00E178F0" w:rsidP="002E259C">
      <w:pPr>
        <w:rPr>
          <w:sz w:val="22"/>
          <w:szCs w:val="22"/>
        </w:rPr>
      </w:pPr>
      <w:r>
        <w:rPr>
          <w:b/>
          <w:bCs/>
          <w:sz w:val="22"/>
          <w:szCs w:val="22"/>
        </w:rPr>
        <w:t xml:space="preserve">XV.  </w:t>
      </w:r>
      <w:r w:rsidR="002E259C" w:rsidRPr="0014633D">
        <w:rPr>
          <w:b/>
          <w:bCs/>
          <w:sz w:val="22"/>
          <w:szCs w:val="22"/>
        </w:rPr>
        <w:t>Final Review Week:</w:t>
      </w:r>
      <w:r w:rsidR="002E259C" w:rsidRPr="0014633D">
        <w:rPr>
          <w:bCs/>
          <w:sz w:val="22"/>
          <w:szCs w:val="22"/>
        </w:rPr>
        <w:t xml:space="preserve"> </w:t>
      </w:r>
      <w:r w:rsidR="002E259C" w:rsidRPr="0014633D">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2E259C" w:rsidRPr="0014633D">
        <w:rPr>
          <w:i/>
          <w:sz w:val="22"/>
          <w:szCs w:val="22"/>
        </w:rPr>
        <w:t>unless specified in the class syllabus</w:t>
      </w:r>
      <w:r w:rsidR="002E259C" w:rsidRPr="0014633D">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E259C" w:rsidRPr="0014633D" w:rsidRDefault="002E259C" w:rsidP="002E259C">
      <w:pPr>
        <w:rPr>
          <w:sz w:val="22"/>
          <w:szCs w:val="22"/>
        </w:rPr>
      </w:pPr>
    </w:p>
    <w:p w:rsidR="002E259C" w:rsidRPr="0014633D" w:rsidRDefault="00E178F0" w:rsidP="002E259C">
      <w:pPr>
        <w:rPr>
          <w:sz w:val="22"/>
          <w:szCs w:val="22"/>
        </w:rPr>
      </w:pPr>
      <w:r>
        <w:rPr>
          <w:b/>
          <w:bCs/>
          <w:sz w:val="22"/>
          <w:szCs w:val="22"/>
        </w:rPr>
        <w:t xml:space="preserve">XVI.  </w:t>
      </w:r>
      <w:r w:rsidR="002E259C" w:rsidRPr="0014633D">
        <w:rPr>
          <w:b/>
          <w:bCs/>
          <w:sz w:val="22"/>
          <w:szCs w:val="22"/>
        </w:rPr>
        <w:t>Emergency Exit Procedures:</w:t>
      </w:r>
      <w:r w:rsidR="002E259C" w:rsidRPr="0014633D">
        <w:rPr>
          <w:bCs/>
          <w:sz w:val="22"/>
          <w:szCs w:val="22"/>
        </w:rPr>
        <w:t xml:space="preserve"> </w:t>
      </w:r>
      <w:r w:rsidR="002E259C" w:rsidRPr="0014633D">
        <w:rPr>
          <w:sz w:val="22"/>
          <w:szCs w:val="22"/>
        </w:rPr>
        <w:t>Should we experience an emergency event that requires us to vacate the building; students should exit the room and move toward the nearest exit, which is located to the left of the classroom door out to the breezeway.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E259C" w:rsidRPr="0014633D" w:rsidRDefault="002E259C" w:rsidP="002E259C">
      <w:pPr>
        <w:rPr>
          <w:sz w:val="22"/>
          <w:szCs w:val="22"/>
        </w:rPr>
      </w:pPr>
    </w:p>
    <w:p w:rsidR="00645644" w:rsidRPr="0014633D" w:rsidRDefault="00E178F0" w:rsidP="00E178F0">
      <w:pPr>
        <w:rPr>
          <w:b/>
          <w:color w:val="000000"/>
          <w:sz w:val="22"/>
          <w:szCs w:val="22"/>
        </w:rPr>
      </w:pPr>
      <w:r>
        <w:rPr>
          <w:b/>
          <w:color w:val="000000"/>
          <w:sz w:val="22"/>
          <w:szCs w:val="22"/>
        </w:rPr>
        <w:t xml:space="preserve">XVII.  </w:t>
      </w:r>
      <w:r w:rsidR="00963151" w:rsidRPr="0014633D">
        <w:rPr>
          <w:b/>
          <w:color w:val="000000"/>
          <w:sz w:val="22"/>
          <w:szCs w:val="22"/>
        </w:rPr>
        <w:t xml:space="preserve">Librarian to Contact: </w:t>
      </w:r>
      <w:r w:rsidR="00963151" w:rsidRPr="0014633D">
        <w:rPr>
          <w:color w:val="000000"/>
          <w:sz w:val="22"/>
          <w:szCs w:val="22"/>
        </w:rPr>
        <w:t xml:space="preserve"> </w:t>
      </w:r>
      <w:r w:rsidR="00645644" w:rsidRPr="0014633D">
        <w:rPr>
          <w:color w:val="000000"/>
          <w:sz w:val="22"/>
          <w:szCs w:val="22"/>
        </w:rPr>
        <w:t xml:space="preserve">John Dillard, 817-272-7518, </w:t>
      </w:r>
      <w:hyperlink r:id="rId15" w:history="1">
        <w:r w:rsidR="00AD0064" w:rsidRPr="0014633D">
          <w:rPr>
            <w:rStyle w:val="Hyperlink"/>
            <w:sz w:val="22"/>
            <w:szCs w:val="22"/>
          </w:rPr>
          <w:t>dillard@uta.edu</w:t>
        </w:r>
      </w:hyperlink>
      <w:r w:rsidR="00645644" w:rsidRPr="0014633D">
        <w:rPr>
          <w:b/>
          <w:color w:val="000000"/>
          <w:sz w:val="22"/>
          <w:szCs w:val="22"/>
        </w:rPr>
        <w:t xml:space="preserve"> </w:t>
      </w:r>
    </w:p>
    <w:p w:rsidR="00AD0064" w:rsidRPr="0014633D" w:rsidRDefault="00AD0064" w:rsidP="00AD0064">
      <w:pPr>
        <w:rPr>
          <w:b/>
          <w:color w:val="000000"/>
          <w:sz w:val="22"/>
          <w:szCs w:val="22"/>
        </w:rPr>
      </w:pPr>
    </w:p>
    <w:p w:rsidR="00AD0064" w:rsidRPr="0014633D" w:rsidRDefault="00AD0064" w:rsidP="00AD0064">
      <w:pPr>
        <w:tabs>
          <w:tab w:val="left" w:leader="dot" w:pos="3600"/>
        </w:tabs>
        <w:rPr>
          <w:color w:val="000000"/>
          <w:sz w:val="22"/>
          <w:szCs w:val="22"/>
        </w:rPr>
      </w:pPr>
      <w:r w:rsidRPr="0014633D">
        <w:rPr>
          <w:color w:val="000000"/>
          <w:sz w:val="22"/>
          <w:szCs w:val="22"/>
        </w:rPr>
        <w:t>Library Home Page</w:t>
      </w:r>
      <w:r w:rsidRPr="0014633D">
        <w:rPr>
          <w:color w:val="000000"/>
          <w:sz w:val="22"/>
          <w:szCs w:val="22"/>
        </w:rPr>
        <w:tab/>
        <w:t xml:space="preserve"> </w:t>
      </w:r>
      <w:hyperlink r:id="rId16" w:tgtFrame="_blank" w:history="1">
        <w:r w:rsidRPr="0014633D">
          <w:rPr>
            <w:rStyle w:val="Hyperlink"/>
            <w:sz w:val="22"/>
            <w:szCs w:val="22"/>
          </w:rPr>
          <w:t>http://www.uta.edu/library</w:t>
        </w:r>
      </w:hyperlink>
    </w:p>
    <w:p w:rsidR="00AD0064" w:rsidRPr="0014633D" w:rsidRDefault="00AD0064" w:rsidP="00AD0064">
      <w:pPr>
        <w:tabs>
          <w:tab w:val="left" w:leader="dot" w:pos="3600"/>
        </w:tabs>
        <w:rPr>
          <w:color w:val="000000"/>
          <w:sz w:val="22"/>
          <w:szCs w:val="22"/>
        </w:rPr>
      </w:pPr>
      <w:r w:rsidRPr="0014633D">
        <w:rPr>
          <w:color w:val="000000"/>
          <w:sz w:val="22"/>
          <w:szCs w:val="22"/>
        </w:rPr>
        <w:t>Subject Guides</w:t>
      </w:r>
      <w:r w:rsidRPr="0014633D">
        <w:rPr>
          <w:color w:val="000000"/>
          <w:sz w:val="22"/>
          <w:szCs w:val="22"/>
        </w:rPr>
        <w:tab/>
        <w:t xml:space="preserve"> </w:t>
      </w:r>
      <w:hyperlink r:id="rId17" w:tgtFrame="_blank" w:history="1">
        <w:r w:rsidRPr="0014633D">
          <w:rPr>
            <w:rStyle w:val="Hyperlink"/>
            <w:sz w:val="22"/>
            <w:szCs w:val="22"/>
          </w:rPr>
          <w:t>http://libguides.uta.edu</w:t>
        </w:r>
      </w:hyperlink>
    </w:p>
    <w:p w:rsidR="00AD0064" w:rsidRPr="0014633D" w:rsidRDefault="00AD0064" w:rsidP="00AD0064">
      <w:pPr>
        <w:tabs>
          <w:tab w:val="left" w:leader="dot" w:pos="3600"/>
        </w:tabs>
        <w:rPr>
          <w:color w:val="000000"/>
          <w:sz w:val="22"/>
          <w:szCs w:val="22"/>
        </w:rPr>
      </w:pPr>
      <w:r w:rsidRPr="0014633D">
        <w:rPr>
          <w:color w:val="000000"/>
          <w:sz w:val="22"/>
          <w:szCs w:val="22"/>
        </w:rPr>
        <w:t>Subject Librarians</w:t>
      </w:r>
      <w:r w:rsidRPr="0014633D">
        <w:rPr>
          <w:color w:val="000000"/>
          <w:sz w:val="22"/>
          <w:szCs w:val="22"/>
        </w:rPr>
        <w:tab/>
        <w:t xml:space="preserve"> </w:t>
      </w:r>
      <w:hyperlink r:id="rId18" w:tgtFrame="_blank" w:history="1">
        <w:r w:rsidRPr="0014633D">
          <w:rPr>
            <w:rStyle w:val="Hyperlink"/>
            <w:sz w:val="22"/>
            <w:szCs w:val="22"/>
          </w:rPr>
          <w:t>http://www.uta.edu/library/help/subject-librarians.php</w:t>
        </w:r>
      </w:hyperlink>
      <w:r w:rsidRPr="0014633D">
        <w:rPr>
          <w:color w:val="000000"/>
          <w:sz w:val="22"/>
          <w:szCs w:val="22"/>
        </w:rPr>
        <w:t xml:space="preserve"> </w:t>
      </w:r>
    </w:p>
    <w:p w:rsidR="00AD0064" w:rsidRPr="0014633D" w:rsidRDefault="00AD0064" w:rsidP="00AD0064">
      <w:pPr>
        <w:tabs>
          <w:tab w:val="left" w:leader="dot" w:pos="3600"/>
        </w:tabs>
        <w:rPr>
          <w:color w:val="000000"/>
          <w:sz w:val="22"/>
          <w:szCs w:val="22"/>
        </w:rPr>
      </w:pPr>
      <w:r w:rsidRPr="0014633D">
        <w:rPr>
          <w:color w:val="000000"/>
          <w:sz w:val="22"/>
          <w:szCs w:val="22"/>
        </w:rPr>
        <w:t>Database List</w:t>
      </w:r>
      <w:r w:rsidRPr="0014633D">
        <w:rPr>
          <w:color w:val="000000"/>
          <w:sz w:val="22"/>
          <w:szCs w:val="22"/>
        </w:rPr>
        <w:tab/>
        <w:t xml:space="preserve"> </w:t>
      </w:r>
      <w:hyperlink r:id="rId19" w:tgtFrame="_blank" w:history="1">
        <w:r w:rsidRPr="0014633D">
          <w:rPr>
            <w:rStyle w:val="Hyperlink"/>
            <w:sz w:val="22"/>
            <w:szCs w:val="22"/>
          </w:rPr>
          <w:t>http://www.uta.edu/library/databases/index.php</w:t>
        </w:r>
      </w:hyperlink>
      <w:r w:rsidRPr="0014633D">
        <w:rPr>
          <w:color w:val="000000"/>
          <w:sz w:val="22"/>
          <w:szCs w:val="22"/>
        </w:rPr>
        <w:t xml:space="preserve"> </w:t>
      </w:r>
    </w:p>
    <w:p w:rsidR="00AD0064" w:rsidRPr="0014633D" w:rsidRDefault="00AD0064" w:rsidP="00AD0064">
      <w:pPr>
        <w:tabs>
          <w:tab w:val="left" w:leader="dot" w:pos="3600"/>
        </w:tabs>
        <w:rPr>
          <w:color w:val="000000"/>
          <w:sz w:val="22"/>
          <w:szCs w:val="22"/>
          <w:lang w:val="fr-FR"/>
        </w:rPr>
      </w:pPr>
      <w:r w:rsidRPr="0014633D">
        <w:rPr>
          <w:color w:val="000000"/>
          <w:sz w:val="22"/>
          <w:szCs w:val="22"/>
          <w:lang w:val="fr-FR"/>
        </w:rPr>
        <w:t>Course Reserves</w:t>
      </w:r>
      <w:r w:rsidRPr="0014633D">
        <w:rPr>
          <w:color w:val="000000"/>
          <w:sz w:val="22"/>
          <w:szCs w:val="22"/>
          <w:lang w:val="fr-FR"/>
        </w:rPr>
        <w:tab/>
        <w:t xml:space="preserve"> </w:t>
      </w:r>
      <w:hyperlink r:id="rId20" w:tgtFrame="_blank" w:history="1">
        <w:r w:rsidRPr="0014633D">
          <w:rPr>
            <w:rStyle w:val="Hyperlink"/>
            <w:sz w:val="22"/>
            <w:szCs w:val="22"/>
            <w:lang w:val="fr-FR"/>
          </w:rPr>
          <w:t>http://pulse.uta.edu/vwebv/enterCourseReserve.do</w:t>
        </w:r>
      </w:hyperlink>
    </w:p>
    <w:p w:rsidR="00AD0064" w:rsidRPr="0014633D" w:rsidRDefault="00AD0064" w:rsidP="00AD0064">
      <w:pPr>
        <w:tabs>
          <w:tab w:val="left" w:leader="dot" w:pos="3600"/>
        </w:tabs>
        <w:rPr>
          <w:color w:val="000000"/>
          <w:sz w:val="22"/>
          <w:szCs w:val="22"/>
          <w:lang w:val="fr-FR"/>
        </w:rPr>
      </w:pPr>
      <w:r w:rsidRPr="0014633D">
        <w:rPr>
          <w:color w:val="000000"/>
          <w:sz w:val="22"/>
          <w:szCs w:val="22"/>
          <w:lang w:val="fr-FR"/>
        </w:rPr>
        <w:t>Library Catalog</w:t>
      </w:r>
      <w:r w:rsidRPr="0014633D">
        <w:rPr>
          <w:color w:val="000000"/>
          <w:sz w:val="22"/>
          <w:szCs w:val="22"/>
          <w:lang w:val="fr-FR"/>
        </w:rPr>
        <w:tab/>
        <w:t xml:space="preserve"> </w:t>
      </w:r>
      <w:hyperlink r:id="rId21" w:tgtFrame="_blank" w:history="1">
        <w:r w:rsidRPr="0014633D">
          <w:rPr>
            <w:rStyle w:val="Hyperlink"/>
            <w:sz w:val="22"/>
            <w:szCs w:val="22"/>
            <w:lang w:val="fr-FR"/>
          </w:rPr>
          <w:t>http://discover.uta.edu/</w:t>
        </w:r>
      </w:hyperlink>
    </w:p>
    <w:p w:rsidR="00AD0064" w:rsidRPr="0014633D" w:rsidRDefault="00AD0064" w:rsidP="00AD0064">
      <w:pPr>
        <w:tabs>
          <w:tab w:val="left" w:leader="dot" w:pos="3600"/>
        </w:tabs>
        <w:rPr>
          <w:color w:val="000000"/>
          <w:sz w:val="22"/>
          <w:szCs w:val="22"/>
          <w:lang w:val="fr-FR"/>
        </w:rPr>
      </w:pPr>
      <w:r w:rsidRPr="0014633D">
        <w:rPr>
          <w:color w:val="000000"/>
          <w:sz w:val="22"/>
          <w:szCs w:val="22"/>
          <w:lang w:val="fr-FR"/>
        </w:rPr>
        <w:t>E-Journals</w:t>
      </w:r>
      <w:r w:rsidRPr="0014633D">
        <w:rPr>
          <w:color w:val="000000"/>
          <w:sz w:val="22"/>
          <w:szCs w:val="22"/>
          <w:lang w:val="fr-FR"/>
        </w:rPr>
        <w:tab/>
        <w:t xml:space="preserve"> </w:t>
      </w:r>
      <w:hyperlink r:id="rId22" w:tgtFrame="_blank" w:history="1">
        <w:r w:rsidRPr="0014633D">
          <w:rPr>
            <w:rStyle w:val="Hyperlink"/>
            <w:sz w:val="22"/>
            <w:szCs w:val="22"/>
            <w:lang w:val="fr-FR"/>
          </w:rPr>
          <w:t>http://liblink.uta.edu/UTAlink/az</w:t>
        </w:r>
      </w:hyperlink>
      <w:r w:rsidRPr="0014633D">
        <w:rPr>
          <w:color w:val="000000"/>
          <w:sz w:val="22"/>
          <w:szCs w:val="22"/>
          <w:lang w:val="fr-FR"/>
        </w:rPr>
        <w:t xml:space="preserve"> </w:t>
      </w:r>
    </w:p>
    <w:p w:rsidR="00AD0064" w:rsidRPr="0014633D" w:rsidRDefault="00AD0064" w:rsidP="00AD0064">
      <w:pPr>
        <w:tabs>
          <w:tab w:val="left" w:leader="dot" w:pos="3600"/>
        </w:tabs>
        <w:rPr>
          <w:color w:val="000000"/>
          <w:sz w:val="22"/>
          <w:szCs w:val="22"/>
        </w:rPr>
      </w:pPr>
      <w:r w:rsidRPr="0014633D">
        <w:rPr>
          <w:color w:val="000000"/>
          <w:sz w:val="22"/>
          <w:szCs w:val="22"/>
        </w:rPr>
        <w:t xml:space="preserve">Library Tutorials </w:t>
      </w:r>
      <w:r w:rsidRPr="0014633D">
        <w:rPr>
          <w:color w:val="000000"/>
          <w:sz w:val="22"/>
          <w:szCs w:val="22"/>
        </w:rPr>
        <w:tab/>
        <w:t xml:space="preserve"> </w:t>
      </w:r>
      <w:hyperlink r:id="rId23" w:tgtFrame="_blank" w:history="1">
        <w:r w:rsidRPr="0014633D">
          <w:rPr>
            <w:rStyle w:val="Hyperlink"/>
            <w:sz w:val="22"/>
            <w:szCs w:val="22"/>
          </w:rPr>
          <w:t>http://www.uta.edu/library/help/tutorials.php</w:t>
        </w:r>
      </w:hyperlink>
    </w:p>
    <w:p w:rsidR="00AD0064" w:rsidRPr="0014633D" w:rsidRDefault="00AD0064" w:rsidP="00AD0064">
      <w:pPr>
        <w:tabs>
          <w:tab w:val="left" w:leader="dot" w:pos="3600"/>
        </w:tabs>
        <w:rPr>
          <w:color w:val="000000"/>
          <w:sz w:val="22"/>
          <w:szCs w:val="22"/>
        </w:rPr>
      </w:pPr>
      <w:r w:rsidRPr="0014633D">
        <w:rPr>
          <w:color w:val="000000"/>
          <w:sz w:val="22"/>
          <w:szCs w:val="22"/>
        </w:rPr>
        <w:t>Connecting from Off- Campus</w:t>
      </w:r>
      <w:r w:rsidRPr="0014633D">
        <w:rPr>
          <w:color w:val="000000"/>
          <w:sz w:val="22"/>
          <w:szCs w:val="22"/>
        </w:rPr>
        <w:tab/>
        <w:t xml:space="preserve"> </w:t>
      </w:r>
      <w:hyperlink r:id="rId24" w:tgtFrame="_blank" w:history="1">
        <w:r w:rsidRPr="0014633D">
          <w:rPr>
            <w:rStyle w:val="Hyperlink"/>
            <w:sz w:val="22"/>
            <w:szCs w:val="22"/>
          </w:rPr>
          <w:t>http://libguides.uta.edu/offcampus</w:t>
        </w:r>
      </w:hyperlink>
    </w:p>
    <w:p w:rsidR="00AD0064" w:rsidRPr="0014633D" w:rsidRDefault="00AD0064" w:rsidP="00AD0064">
      <w:pPr>
        <w:tabs>
          <w:tab w:val="left" w:leader="dot" w:pos="3600"/>
        </w:tabs>
        <w:rPr>
          <w:color w:val="000000"/>
          <w:sz w:val="22"/>
          <w:szCs w:val="22"/>
        </w:rPr>
      </w:pPr>
      <w:r w:rsidRPr="0014633D">
        <w:rPr>
          <w:color w:val="000000"/>
          <w:sz w:val="22"/>
          <w:szCs w:val="22"/>
        </w:rPr>
        <w:t>Ask A Librarian</w:t>
      </w:r>
      <w:r w:rsidRPr="0014633D">
        <w:rPr>
          <w:color w:val="000000"/>
          <w:sz w:val="22"/>
          <w:szCs w:val="22"/>
        </w:rPr>
        <w:tab/>
        <w:t xml:space="preserve"> </w:t>
      </w:r>
      <w:hyperlink r:id="rId25" w:tgtFrame="_blank" w:history="1">
        <w:r w:rsidRPr="0014633D">
          <w:rPr>
            <w:rStyle w:val="Hyperlink"/>
            <w:sz w:val="22"/>
            <w:szCs w:val="22"/>
          </w:rPr>
          <w:t>http://ask.uta.edu</w:t>
        </w:r>
      </w:hyperlink>
    </w:p>
    <w:p w:rsidR="00AD0064" w:rsidRPr="0014633D" w:rsidRDefault="00AD0064" w:rsidP="00645644">
      <w:pPr>
        <w:ind w:left="360"/>
        <w:rPr>
          <w:b/>
          <w:color w:val="000000"/>
          <w:sz w:val="22"/>
          <w:szCs w:val="22"/>
        </w:rPr>
      </w:pPr>
    </w:p>
    <w:p w:rsidR="00645644" w:rsidRPr="00E178F0" w:rsidRDefault="00645644" w:rsidP="00645644">
      <w:pPr>
        <w:rPr>
          <w:color w:val="000000"/>
          <w:sz w:val="22"/>
          <w:szCs w:val="22"/>
        </w:rPr>
      </w:pPr>
      <w:r w:rsidRPr="0014633D">
        <w:rPr>
          <w:b/>
          <w:color w:val="000000"/>
          <w:sz w:val="22"/>
          <w:szCs w:val="22"/>
        </w:rPr>
        <w:lastRenderedPageBreak/>
        <w:t>XV</w:t>
      </w:r>
      <w:r w:rsidR="00E178F0">
        <w:rPr>
          <w:b/>
          <w:color w:val="000000"/>
          <w:sz w:val="22"/>
          <w:szCs w:val="22"/>
        </w:rPr>
        <w:t>II</w:t>
      </w:r>
      <w:r w:rsidRPr="0014633D">
        <w:rPr>
          <w:b/>
          <w:color w:val="000000"/>
          <w:sz w:val="22"/>
          <w:szCs w:val="22"/>
        </w:rPr>
        <w:t>I</w:t>
      </w:r>
      <w:r w:rsidR="0005740F" w:rsidRPr="0014633D">
        <w:rPr>
          <w:b/>
          <w:color w:val="000000"/>
          <w:sz w:val="22"/>
          <w:szCs w:val="22"/>
        </w:rPr>
        <w:t xml:space="preserve">. </w:t>
      </w:r>
      <w:r w:rsidR="00E178F0">
        <w:rPr>
          <w:b/>
          <w:color w:val="000000"/>
          <w:sz w:val="22"/>
          <w:szCs w:val="22"/>
        </w:rPr>
        <w:t xml:space="preserve"> </w:t>
      </w:r>
      <w:r w:rsidR="0005740F" w:rsidRPr="0014633D">
        <w:rPr>
          <w:b/>
          <w:color w:val="000000"/>
          <w:sz w:val="22"/>
          <w:szCs w:val="22"/>
        </w:rPr>
        <w:t>Make</w:t>
      </w:r>
      <w:r w:rsidR="00963151" w:rsidRPr="0014633D">
        <w:rPr>
          <w:b/>
          <w:color w:val="000000"/>
          <w:sz w:val="22"/>
          <w:szCs w:val="22"/>
        </w:rPr>
        <w:t xml:space="preserve">-up </w:t>
      </w:r>
      <w:r w:rsidR="00E178F0">
        <w:rPr>
          <w:b/>
          <w:color w:val="000000"/>
          <w:sz w:val="22"/>
          <w:szCs w:val="22"/>
        </w:rPr>
        <w:t>Quiz</w:t>
      </w:r>
      <w:r w:rsidR="00BB2BE5" w:rsidRPr="0014633D">
        <w:rPr>
          <w:b/>
          <w:color w:val="000000"/>
          <w:sz w:val="22"/>
          <w:szCs w:val="22"/>
        </w:rPr>
        <w:t xml:space="preserve">/Late </w:t>
      </w:r>
      <w:r w:rsidRPr="0014633D">
        <w:rPr>
          <w:b/>
          <w:color w:val="000000"/>
          <w:sz w:val="22"/>
          <w:szCs w:val="22"/>
        </w:rPr>
        <w:t>Assignments</w:t>
      </w:r>
      <w:r w:rsidR="00963151" w:rsidRPr="0014633D">
        <w:rPr>
          <w:b/>
          <w:color w:val="000000"/>
          <w:sz w:val="22"/>
          <w:szCs w:val="22"/>
        </w:rPr>
        <w:t xml:space="preserve"> Policy:</w:t>
      </w:r>
      <w:r w:rsidR="00963151" w:rsidRPr="0014633D">
        <w:rPr>
          <w:color w:val="000000"/>
          <w:sz w:val="22"/>
          <w:szCs w:val="22"/>
        </w:rPr>
        <w:t xml:space="preserve"> </w:t>
      </w:r>
      <w:r w:rsidR="00E178F0">
        <w:rPr>
          <w:color w:val="000000"/>
          <w:sz w:val="22"/>
          <w:szCs w:val="22"/>
        </w:rPr>
        <w:t xml:space="preserve"> </w:t>
      </w:r>
      <w:r w:rsidR="00E178F0">
        <w:rPr>
          <w:sz w:val="22"/>
          <w:szCs w:val="22"/>
        </w:rPr>
        <w:t>There will be no make-up quizzes except in extreme circumstances.  No late papers will be accepted, again with the exception of extreme circumstances.  No "Incomplete” grades will be given for this class.</w:t>
      </w:r>
    </w:p>
    <w:p w:rsidR="00963151" w:rsidRPr="0014633D" w:rsidRDefault="00BB2BE5" w:rsidP="00963151">
      <w:pPr>
        <w:rPr>
          <w:b/>
          <w:color w:val="000000"/>
          <w:sz w:val="22"/>
          <w:szCs w:val="22"/>
        </w:rPr>
      </w:pPr>
      <w:r w:rsidRPr="0014633D">
        <w:rPr>
          <w:b/>
          <w:color w:val="000000"/>
          <w:sz w:val="22"/>
          <w:szCs w:val="22"/>
        </w:rPr>
        <w:t xml:space="preserve"> </w:t>
      </w:r>
    </w:p>
    <w:p w:rsidR="00645644" w:rsidRDefault="009C6AFA" w:rsidP="00AD0064">
      <w:pPr>
        <w:rPr>
          <w:sz w:val="22"/>
          <w:szCs w:val="22"/>
        </w:rPr>
      </w:pPr>
      <w:r>
        <w:rPr>
          <w:b/>
          <w:color w:val="000000"/>
          <w:sz w:val="22"/>
          <w:szCs w:val="22"/>
        </w:rPr>
        <w:t xml:space="preserve">XIX.  </w:t>
      </w:r>
      <w:r w:rsidR="00963151" w:rsidRPr="0014633D">
        <w:rPr>
          <w:b/>
          <w:color w:val="000000"/>
          <w:sz w:val="22"/>
          <w:szCs w:val="22"/>
        </w:rPr>
        <w:t>Grade Grievance Policy</w:t>
      </w:r>
      <w:r w:rsidR="00645644" w:rsidRPr="0014633D">
        <w:rPr>
          <w:b/>
          <w:sz w:val="22"/>
          <w:szCs w:val="22"/>
        </w:rPr>
        <w:t xml:space="preserve">:  </w:t>
      </w:r>
      <w:r w:rsidR="00AD0064" w:rsidRPr="0014633D">
        <w:rPr>
          <w:sz w:val="22"/>
          <w:szCs w:val="22"/>
        </w:rPr>
        <w:t>Any appeal of a grade in this course must follow the</w:t>
      </w:r>
      <w:r>
        <w:rPr>
          <w:sz w:val="22"/>
          <w:szCs w:val="22"/>
        </w:rPr>
        <w:t xml:space="preserve"> p</w:t>
      </w:r>
      <w:r w:rsidR="00AD0064" w:rsidRPr="0014633D">
        <w:rPr>
          <w:sz w:val="22"/>
          <w:szCs w:val="22"/>
        </w:rPr>
        <w:t xml:space="preserve">rocedures and deadlines for grade-related grievances as published in the current graduate catalog, see </w:t>
      </w:r>
      <w:hyperlink r:id="rId26" w:anchor="gradegrievances" w:history="1">
        <w:r w:rsidR="00E178F0" w:rsidRPr="00764D55">
          <w:rPr>
            <w:rStyle w:val="Hyperlink"/>
            <w:sz w:val="22"/>
            <w:szCs w:val="22"/>
          </w:rPr>
          <w:t>http://grad.pci.uta.edu/about/catalog/current/general/regulations/#gradegrievances</w:t>
        </w:r>
      </w:hyperlink>
    </w:p>
    <w:p w:rsidR="00645644" w:rsidRPr="0014633D" w:rsidRDefault="00645644" w:rsidP="009C6AFA">
      <w:pPr>
        <w:pStyle w:val="NoSpacing"/>
      </w:pPr>
    </w:p>
    <w:p w:rsidR="00963151" w:rsidRPr="009C6AFA" w:rsidRDefault="009C6AFA" w:rsidP="009C6AFA">
      <w:pPr>
        <w:rPr>
          <w:b/>
          <w:sz w:val="22"/>
          <w:szCs w:val="22"/>
        </w:rPr>
      </w:pPr>
      <w:r>
        <w:rPr>
          <w:b/>
          <w:sz w:val="22"/>
          <w:szCs w:val="22"/>
        </w:rPr>
        <w:t xml:space="preserve">XX.  </w:t>
      </w:r>
      <w:r w:rsidR="00963151" w:rsidRPr="009C6AFA">
        <w:rPr>
          <w:b/>
          <w:sz w:val="22"/>
          <w:szCs w:val="22"/>
        </w:rPr>
        <w:t>Bibliography.</w:t>
      </w:r>
    </w:p>
    <w:p w:rsidR="00E7599F" w:rsidRPr="0014633D" w:rsidRDefault="00E7599F" w:rsidP="00E7599F">
      <w:pPr>
        <w:rPr>
          <w:b/>
          <w:sz w:val="22"/>
          <w:szCs w:val="22"/>
        </w:rPr>
      </w:pPr>
    </w:p>
    <w:p w:rsidR="00E7599F" w:rsidRPr="0014633D" w:rsidRDefault="00E7599F" w:rsidP="00E7599F">
      <w:pPr>
        <w:rPr>
          <w:b/>
          <w:sz w:val="22"/>
          <w:szCs w:val="22"/>
        </w:rPr>
      </w:pPr>
      <w:r w:rsidRPr="0014633D">
        <w:rPr>
          <w:b/>
          <w:sz w:val="22"/>
          <w:szCs w:val="22"/>
        </w:rPr>
        <w:t xml:space="preserve">All posted items on </w:t>
      </w:r>
      <w:r w:rsidR="00C84BBB" w:rsidRPr="0014633D">
        <w:rPr>
          <w:b/>
          <w:sz w:val="22"/>
          <w:szCs w:val="22"/>
        </w:rPr>
        <w:t xml:space="preserve">the </w:t>
      </w:r>
      <w:r w:rsidR="00BB2BE5" w:rsidRPr="0014633D">
        <w:rPr>
          <w:b/>
          <w:sz w:val="22"/>
          <w:szCs w:val="22"/>
        </w:rPr>
        <w:t xml:space="preserve">BlackBoard </w:t>
      </w:r>
      <w:r w:rsidRPr="0014633D">
        <w:rPr>
          <w:b/>
          <w:sz w:val="22"/>
          <w:szCs w:val="22"/>
        </w:rPr>
        <w:t>site for this course</w:t>
      </w:r>
      <w:r w:rsidR="0005740F" w:rsidRPr="0014633D">
        <w:rPr>
          <w:b/>
          <w:sz w:val="22"/>
          <w:szCs w:val="22"/>
        </w:rPr>
        <w:t xml:space="preserve"> are part of the course materials</w:t>
      </w:r>
      <w:r w:rsidRPr="0014633D">
        <w:rPr>
          <w:b/>
          <w:sz w:val="22"/>
          <w:szCs w:val="22"/>
        </w:rPr>
        <w:t>; these are the result of a systematic review for social work-relevant neuroscience meta-analyses and systematic reviews published in peer-reviewed journals in the last 10 years.</w:t>
      </w:r>
      <w:r w:rsidR="0005740F" w:rsidRPr="0014633D">
        <w:rPr>
          <w:b/>
          <w:sz w:val="22"/>
          <w:szCs w:val="22"/>
        </w:rPr>
        <w:t xml:space="preserve">  They will be updated each semester, and so are not included on this core bibliography.</w:t>
      </w:r>
    </w:p>
    <w:p w:rsidR="00182366" w:rsidRPr="0014633D" w:rsidRDefault="00182366" w:rsidP="00963151">
      <w:pPr>
        <w:rPr>
          <w:b/>
          <w:sz w:val="22"/>
          <w:szCs w:val="22"/>
        </w:rPr>
      </w:pPr>
    </w:p>
    <w:p w:rsidR="00182366" w:rsidRPr="0014633D" w:rsidRDefault="00182366" w:rsidP="00182366">
      <w:pPr>
        <w:pStyle w:val="ReferenceFinal"/>
        <w:rPr>
          <w:rFonts w:ascii="Times New Roman" w:hAnsi="Times New Roman"/>
          <w:sz w:val="22"/>
          <w:szCs w:val="22"/>
        </w:rPr>
      </w:pPr>
      <w:bookmarkStart w:id="1" w:name="ReferencesBookmark"/>
      <w:r w:rsidRPr="0014633D">
        <w:rPr>
          <w:rFonts w:ascii="Times New Roman" w:hAnsi="Times New Roman"/>
          <w:sz w:val="22"/>
          <w:szCs w:val="22"/>
        </w:rPr>
        <w:t xml:space="preserve">Cohen, D. (1988). Social work and psychotropic drug treatments. </w:t>
      </w:r>
      <w:r w:rsidRPr="0014633D">
        <w:rPr>
          <w:rFonts w:ascii="Times New Roman" w:hAnsi="Times New Roman"/>
          <w:i/>
          <w:sz w:val="22"/>
          <w:szCs w:val="22"/>
        </w:rPr>
        <w:t>Social Service Review, 62</w:t>
      </w:r>
      <w:r w:rsidRPr="0014633D">
        <w:rPr>
          <w:rFonts w:ascii="Times New Roman" w:hAnsi="Times New Roman"/>
          <w:sz w:val="22"/>
          <w:szCs w:val="22"/>
        </w:rPr>
        <w:t xml:space="preserve">(4), 576-599.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Cohen, D. (1989). Good intentions are not enough. </w:t>
      </w:r>
      <w:r w:rsidRPr="0014633D">
        <w:rPr>
          <w:rFonts w:ascii="Times New Roman" w:hAnsi="Times New Roman"/>
          <w:i/>
          <w:sz w:val="22"/>
          <w:szCs w:val="22"/>
        </w:rPr>
        <w:t>Social Service Review, 63</w:t>
      </w:r>
      <w:r w:rsidRPr="0014633D">
        <w:rPr>
          <w:rFonts w:ascii="Times New Roman" w:hAnsi="Times New Roman"/>
          <w:sz w:val="22"/>
          <w:szCs w:val="22"/>
        </w:rPr>
        <w:t xml:space="preserve">(4), 661-665.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Cornelius, L. (2000). Having limited choices for medical care: does it lead to delays in seeking care for minority populations? In C. Hogue (Ed.), </w:t>
      </w:r>
      <w:r w:rsidRPr="0014633D">
        <w:rPr>
          <w:rFonts w:ascii="Times New Roman" w:hAnsi="Times New Roman"/>
          <w:i/>
          <w:sz w:val="22"/>
          <w:szCs w:val="22"/>
        </w:rPr>
        <w:t>Minority health in America</w:t>
      </w:r>
      <w:r w:rsidRPr="0014633D">
        <w:rPr>
          <w:rFonts w:ascii="Times New Roman" w:hAnsi="Times New Roman"/>
          <w:sz w:val="22"/>
          <w:szCs w:val="22"/>
        </w:rPr>
        <w:t xml:space="preserve"> (p. ). Baltimore, MD.: Johns Hopkins University Press.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Council on Social Work Education (</w:t>
      </w:r>
      <w:r w:rsidR="006B43A9" w:rsidRPr="0014633D">
        <w:rPr>
          <w:rFonts w:ascii="Times New Roman" w:hAnsi="Times New Roman"/>
          <w:sz w:val="22"/>
          <w:szCs w:val="22"/>
        </w:rPr>
        <w:t>2008</w:t>
      </w:r>
      <w:r w:rsidRPr="0014633D">
        <w:rPr>
          <w:rFonts w:ascii="Times New Roman" w:hAnsi="Times New Roman"/>
          <w:sz w:val="22"/>
          <w:szCs w:val="22"/>
        </w:rPr>
        <w:t xml:space="preserve">). </w:t>
      </w:r>
      <w:r w:rsidRPr="0014633D">
        <w:rPr>
          <w:rFonts w:ascii="Times New Roman" w:hAnsi="Times New Roman"/>
          <w:i/>
          <w:sz w:val="22"/>
          <w:szCs w:val="22"/>
        </w:rPr>
        <w:t>Handbook of Accredi</w:t>
      </w:r>
      <w:r w:rsidR="006B43A9" w:rsidRPr="0014633D">
        <w:rPr>
          <w:rFonts w:ascii="Times New Roman" w:hAnsi="Times New Roman"/>
          <w:i/>
          <w:sz w:val="22"/>
          <w:szCs w:val="22"/>
        </w:rPr>
        <w:t>tation Standards and Procedures</w:t>
      </w:r>
      <w:r w:rsidRPr="0014633D">
        <w:rPr>
          <w:rFonts w:ascii="Times New Roman" w:hAnsi="Times New Roman"/>
          <w:sz w:val="22"/>
          <w:szCs w:val="22"/>
        </w:rPr>
        <w:t xml:space="preserve">. Washington, D.C.: CSWE.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Farmer, R., &amp; Bentley, K. J. (2001). Social workers as medication facilitators. In K.J. Bentley (Ed.), </w:t>
      </w:r>
      <w:r w:rsidRPr="0014633D">
        <w:rPr>
          <w:rFonts w:ascii="Times New Roman" w:hAnsi="Times New Roman"/>
          <w:i/>
          <w:sz w:val="22"/>
          <w:szCs w:val="22"/>
        </w:rPr>
        <w:t>Social work practice in mental health: contemporary roles, tasks and techniques</w:t>
      </w:r>
      <w:r w:rsidRPr="0014633D">
        <w:rPr>
          <w:rFonts w:ascii="Times New Roman" w:hAnsi="Times New Roman"/>
          <w:sz w:val="22"/>
          <w:szCs w:val="22"/>
        </w:rPr>
        <w:t xml:space="preserve"> (pp. 211-219). Pacific Grove, CA.: Brooks/Cole.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Geddes, J. (2004). Bipolar disorders. </w:t>
      </w:r>
      <w:r w:rsidRPr="0014633D">
        <w:rPr>
          <w:rFonts w:ascii="Times New Roman" w:hAnsi="Times New Roman"/>
          <w:i/>
          <w:sz w:val="22"/>
          <w:szCs w:val="22"/>
        </w:rPr>
        <w:t>Clinical Evidence Mental Health, 11,</w:t>
      </w:r>
      <w:r w:rsidRPr="0014633D">
        <w:rPr>
          <w:rFonts w:ascii="Times New Roman" w:hAnsi="Times New Roman"/>
          <w:sz w:val="22"/>
          <w:szCs w:val="22"/>
        </w:rPr>
        <w:t xml:space="preserve"> 13-31.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Ginsberg, L., Nackerud, L., &amp; Larrison, C. R. (2004). </w:t>
      </w:r>
      <w:r w:rsidRPr="0014633D">
        <w:rPr>
          <w:rFonts w:ascii="Times New Roman" w:hAnsi="Times New Roman"/>
          <w:i/>
          <w:sz w:val="22"/>
          <w:szCs w:val="22"/>
        </w:rPr>
        <w:t>Human biology for social workers.</w:t>
      </w:r>
      <w:r w:rsidRPr="0014633D">
        <w:rPr>
          <w:rFonts w:ascii="Times New Roman" w:hAnsi="Times New Roman"/>
          <w:sz w:val="22"/>
          <w:szCs w:val="22"/>
        </w:rPr>
        <w:t xml:space="preserve"> Boston: Pearson Education, Inc..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Gunnar, M. R., &amp; Thelen, E. (Eds.). (1989). </w:t>
      </w:r>
      <w:r w:rsidRPr="0014633D">
        <w:rPr>
          <w:rFonts w:ascii="Times New Roman" w:hAnsi="Times New Roman"/>
          <w:i/>
          <w:sz w:val="22"/>
          <w:szCs w:val="22"/>
        </w:rPr>
        <w:t>Systems and development: the Minnesota symposia on child psychology, Vol. 22.</w:t>
      </w:r>
      <w:r w:rsidRPr="0014633D">
        <w:rPr>
          <w:rFonts w:ascii="Times New Roman" w:hAnsi="Times New Roman"/>
          <w:sz w:val="22"/>
          <w:szCs w:val="22"/>
        </w:rPr>
        <w:t xml:space="preserve"> Hilsdale, NJ.: Lawrence Erlbaum Associates, Inc..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Haroutunian, S. (1983). </w:t>
      </w:r>
      <w:r w:rsidR="0005740F" w:rsidRPr="0014633D">
        <w:rPr>
          <w:rFonts w:ascii="Times New Roman" w:hAnsi="Times New Roman"/>
          <w:i/>
          <w:sz w:val="22"/>
          <w:szCs w:val="22"/>
        </w:rPr>
        <w:t xml:space="preserve">Equilibrium in the balance: A </w:t>
      </w:r>
      <w:r w:rsidRPr="0014633D">
        <w:rPr>
          <w:rFonts w:ascii="Times New Roman" w:hAnsi="Times New Roman"/>
          <w:i/>
          <w:sz w:val="22"/>
          <w:szCs w:val="22"/>
        </w:rPr>
        <w:t>study of psychological explanation.</w:t>
      </w:r>
      <w:r w:rsidRPr="0014633D">
        <w:rPr>
          <w:rFonts w:ascii="Times New Roman" w:hAnsi="Times New Roman"/>
          <w:sz w:val="22"/>
          <w:szCs w:val="22"/>
        </w:rPr>
        <w:t xml:space="preserve"> New York: Springer-Verlag.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Holmes, E. M. (1996/1997). Solving the insurance/genetic fair/unfair discrimination dilemma in light of the human genome project. </w:t>
      </w:r>
      <w:r w:rsidRPr="0014633D">
        <w:rPr>
          <w:rFonts w:ascii="Times New Roman" w:hAnsi="Times New Roman"/>
          <w:i/>
          <w:sz w:val="22"/>
          <w:szCs w:val="22"/>
        </w:rPr>
        <w:t>Kentucky Law Journal, 85</w:t>
      </w:r>
      <w:r w:rsidRPr="0014633D">
        <w:rPr>
          <w:rFonts w:ascii="Times New Roman" w:hAnsi="Times New Roman"/>
          <w:sz w:val="22"/>
          <w:szCs w:val="22"/>
        </w:rPr>
        <w:t xml:space="preserve">(3), 503-664.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lastRenderedPageBreak/>
        <w:t xml:space="preserve">Johnson, H. C. (1984). The biological bases of psychopathology. In F.J. Turner (Ed.), </w:t>
      </w:r>
      <w:r w:rsidRPr="0014633D">
        <w:rPr>
          <w:rFonts w:ascii="Times New Roman" w:hAnsi="Times New Roman"/>
          <w:i/>
          <w:sz w:val="22"/>
          <w:szCs w:val="22"/>
        </w:rPr>
        <w:t>Adult Psychopathology</w:t>
      </w:r>
      <w:r w:rsidRPr="0014633D">
        <w:rPr>
          <w:rFonts w:ascii="Times New Roman" w:hAnsi="Times New Roman"/>
          <w:sz w:val="22"/>
          <w:szCs w:val="22"/>
        </w:rPr>
        <w:t xml:space="preserve"> (p. ). New York: Free Press.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Johnson, H. C. (1987). Biologically based deficit in the identified patient: indications for psychoeducational strategies. </w:t>
      </w:r>
      <w:r w:rsidRPr="0014633D">
        <w:rPr>
          <w:rFonts w:ascii="Times New Roman" w:hAnsi="Times New Roman"/>
          <w:i/>
          <w:sz w:val="22"/>
          <w:szCs w:val="22"/>
        </w:rPr>
        <w:t>Journal of Marital and Family Therapy, 13</w:t>
      </w:r>
      <w:r w:rsidRPr="0014633D">
        <w:rPr>
          <w:rFonts w:ascii="Times New Roman" w:hAnsi="Times New Roman"/>
          <w:sz w:val="22"/>
          <w:szCs w:val="22"/>
        </w:rPr>
        <w:t xml:space="preserve">(4), 337-348.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Johnson, H. C. (1989). Disruptive children: biological factors in attention deficit and antisocial disorders. </w:t>
      </w:r>
      <w:r w:rsidRPr="0014633D">
        <w:rPr>
          <w:rFonts w:ascii="Times New Roman" w:hAnsi="Times New Roman"/>
          <w:i/>
          <w:sz w:val="22"/>
          <w:szCs w:val="22"/>
        </w:rPr>
        <w:t>Social Work, 34,</w:t>
      </w:r>
      <w:r w:rsidRPr="0014633D">
        <w:rPr>
          <w:rFonts w:ascii="Times New Roman" w:hAnsi="Times New Roman"/>
          <w:sz w:val="22"/>
          <w:szCs w:val="22"/>
        </w:rPr>
        <w:t xml:space="preserve"> 137-144.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Johnson, H. C. (1989a). Resisting the evil empire: comments on "Social work practice and psychotropic drug treatment'. </w:t>
      </w:r>
      <w:r w:rsidRPr="0014633D">
        <w:rPr>
          <w:rFonts w:ascii="Times New Roman" w:hAnsi="Times New Roman"/>
          <w:i/>
          <w:sz w:val="22"/>
          <w:szCs w:val="22"/>
        </w:rPr>
        <w:t>Social Service Review, 63</w:t>
      </w:r>
      <w:r w:rsidRPr="0014633D">
        <w:rPr>
          <w:rFonts w:ascii="Times New Roman" w:hAnsi="Times New Roman"/>
          <w:sz w:val="22"/>
          <w:szCs w:val="22"/>
        </w:rPr>
        <w:t xml:space="preserve">(4), 657-660.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Johnson, H. C. (1996). Violence and biology: a review of the literature. </w:t>
      </w:r>
      <w:r w:rsidRPr="0014633D">
        <w:rPr>
          <w:rFonts w:ascii="Times New Roman" w:hAnsi="Times New Roman"/>
          <w:i/>
          <w:sz w:val="22"/>
          <w:szCs w:val="22"/>
        </w:rPr>
        <w:t xml:space="preserve">Families in Society, </w:t>
      </w:r>
      <w:r w:rsidR="00027B04" w:rsidRPr="0014633D">
        <w:rPr>
          <w:rFonts w:ascii="Times New Roman" w:hAnsi="Times New Roman"/>
          <w:i/>
          <w:sz w:val="22"/>
          <w:szCs w:val="22"/>
        </w:rPr>
        <w:t>77</w:t>
      </w:r>
      <w:r w:rsidRPr="0014633D">
        <w:rPr>
          <w:rFonts w:ascii="Times New Roman" w:hAnsi="Times New Roman"/>
          <w:sz w:val="22"/>
          <w:szCs w:val="22"/>
        </w:rPr>
        <w:t xml:space="preserve">, 3-18.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Johnson, H. C. (2004). </w:t>
      </w:r>
      <w:r w:rsidRPr="0014633D">
        <w:rPr>
          <w:rFonts w:ascii="Times New Roman" w:hAnsi="Times New Roman"/>
          <w:i/>
          <w:sz w:val="22"/>
          <w:szCs w:val="22"/>
        </w:rPr>
        <w:t xml:space="preserve">Psyche, synapse, and substance: the role of neurobiology in emotions, behavior, thinking, and addiction for non-scientists </w:t>
      </w:r>
      <w:r w:rsidRPr="0014633D">
        <w:rPr>
          <w:rFonts w:ascii="Times New Roman" w:hAnsi="Times New Roman"/>
          <w:sz w:val="22"/>
          <w:szCs w:val="22"/>
        </w:rPr>
        <w:t>(2</w:t>
      </w:r>
      <w:r w:rsidRPr="0014633D">
        <w:rPr>
          <w:rFonts w:ascii="Times New Roman" w:hAnsi="Times New Roman"/>
          <w:sz w:val="22"/>
          <w:szCs w:val="22"/>
          <w:vertAlign w:val="superscript"/>
        </w:rPr>
        <w:t>nd</w:t>
      </w:r>
      <w:r w:rsidRPr="0014633D">
        <w:rPr>
          <w:rFonts w:ascii="Times New Roman" w:hAnsi="Times New Roman"/>
          <w:sz w:val="22"/>
          <w:szCs w:val="22"/>
        </w:rPr>
        <w:t xml:space="preserve"> Ed.)</w:t>
      </w:r>
      <w:r w:rsidRPr="0014633D">
        <w:rPr>
          <w:rFonts w:ascii="Times New Roman" w:hAnsi="Times New Roman"/>
          <w:i/>
          <w:sz w:val="22"/>
          <w:szCs w:val="22"/>
        </w:rPr>
        <w:t>.</w:t>
      </w:r>
      <w:r w:rsidRPr="0014633D">
        <w:rPr>
          <w:rFonts w:ascii="Times New Roman" w:hAnsi="Times New Roman"/>
          <w:sz w:val="22"/>
          <w:szCs w:val="22"/>
        </w:rPr>
        <w:t xml:space="preserve"> Greenfield, MA.: Deerfield Valley Publishing.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Johnson, H. C., Atkins, S. P., Battle, S. F., Hernandez-Arata, L., Hesselbrock, M., Libassi, M. G., Parish, M. (1990). Strengthening the "bio" in the biopsychosocial paradigm. </w:t>
      </w:r>
      <w:r w:rsidRPr="0014633D">
        <w:rPr>
          <w:rFonts w:ascii="Times New Roman" w:hAnsi="Times New Roman"/>
          <w:i/>
          <w:sz w:val="22"/>
          <w:szCs w:val="22"/>
        </w:rPr>
        <w:t>Journal of Social Work Education, 26</w:t>
      </w:r>
      <w:r w:rsidRPr="0014633D">
        <w:rPr>
          <w:rFonts w:ascii="Times New Roman" w:hAnsi="Times New Roman"/>
          <w:sz w:val="22"/>
          <w:szCs w:val="22"/>
        </w:rPr>
        <w:t xml:space="preserve">(2), 109-123.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Lemert, Charles. (200</w:t>
      </w:r>
      <w:r w:rsidR="00E7599F" w:rsidRPr="0014633D">
        <w:rPr>
          <w:rFonts w:ascii="Times New Roman" w:hAnsi="Times New Roman"/>
          <w:sz w:val="22"/>
          <w:szCs w:val="22"/>
        </w:rPr>
        <w:t>9</w:t>
      </w:r>
      <w:r w:rsidRPr="0014633D">
        <w:rPr>
          <w:rFonts w:ascii="Times New Roman" w:hAnsi="Times New Roman"/>
          <w:sz w:val="22"/>
          <w:szCs w:val="22"/>
        </w:rPr>
        <w:t xml:space="preserve">). </w:t>
      </w:r>
      <w:r w:rsidRPr="0014633D">
        <w:rPr>
          <w:rFonts w:ascii="Times New Roman" w:hAnsi="Times New Roman"/>
          <w:i/>
          <w:sz w:val="22"/>
          <w:szCs w:val="22"/>
        </w:rPr>
        <w:t xml:space="preserve">Social theory: The multicultural and classic readings </w:t>
      </w:r>
      <w:r w:rsidRPr="0014633D">
        <w:rPr>
          <w:rFonts w:ascii="Times New Roman" w:hAnsi="Times New Roman"/>
          <w:sz w:val="22"/>
          <w:szCs w:val="22"/>
        </w:rPr>
        <w:t>(3</w:t>
      </w:r>
      <w:r w:rsidRPr="0014633D">
        <w:rPr>
          <w:rFonts w:ascii="Times New Roman" w:hAnsi="Times New Roman"/>
          <w:sz w:val="22"/>
          <w:szCs w:val="22"/>
          <w:vertAlign w:val="superscript"/>
        </w:rPr>
        <w:t>rd</w:t>
      </w:r>
      <w:r w:rsidRPr="0014633D">
        <w:rPr>
          <w:rFonts w:ascii="Times New Roman" w:hAnsi="Times New Roman"/>
          <w:sz w:val="22"/>
          <w:szCs w:val="22"/>
        </w:rPr>
        <w:t xml:space="preserve"> ed.).  Boulder, CO.: Westview Press.</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Lezak, M. D. (1995). </w:t>
      </w:r>
      <w:r w:rsidRPr="0014633D">
        <w:rPr>
          <w:rFonts w:ascii="Times New Roman" w:hAnsi="Times New Roman"/>
          <w:i/>
          <w:sz w:val="22"/>
          <w:szCs w:val="22"/>
        </w:rPr>
        <w:t>Neuropsychological assessment</w:t>
      </w:r>
      <w:r w:rsidRPr="0014633D">
        <w:rPr>
          <w:rFonts w:ascii="Times New Roman" w:hAnsi="Times New Roman"/>
          <w:sz w:val="22"/>
          <w:szCs w:val="22"/>
        </w:rPr>
        <w:t xml:space="preserve"> (3</w:t>
      </w:r>
      <w:r w:rsidRPr="0014633D">
        <w:rPr>
          <w:rFonts w:ascii="Times New Roman" w:hAnsi="Times New Roman"/>
          <w:sz w:val="22"/>
          <w:szCs w:val="22"/>
          <w:vertAlign w:val="superscript"/>
        </w:rPr>
        <w:t>rd</w:t>
      </w:r>
      <w:r w:rsidRPr="0014633D">
        <w:rPr>
          <w:rFonts w:ascii="Times New Roman" w:hAnsi="Times New Roman"/>
          <w:sz w:val="22"/>
          <w:szCs w:val="22"/>
        </w:rPr>
        <w:t xml:space="preserve">. ed.). New York: Oxford University Press.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Mange, E. J., &amp; Mange, A. P. (2001). </w:t>
      </w:r>
      <w:r w:rsidRPr="0014633D">
        <w:rPr>
          <w:rFonts w:ascii="Times New Roman" w:hAnsi="Times New Roman"/>
          <w:i/>
          <w:sz w:val="22"/>
          <w:szCs w:val="22"/>
        </w:rPr>
        <w:t>Basic human genetics</w:t>
      </w:r>
      <w:r w:rsidRPr="0014633D">
        <w:rPr>
          <w:rFonts w:ascii="Times New Roman" w:hAnsi="Times New Roman"/>
          <w:sz w:val="22"/>
          <w:szCs w:val="22"/>
        </w:rPr>
        <w:t xml:space="preserve"> (3</w:t>
      </w:r>
      <w:r w:rsidRPr="0014633D">
        <w:rPr>
          <w:rFonts w:ascii="Times New Roman" w:hAnsi="Times New Roman"/>
          <w:sz w:val="22"/>
          <w:szCs w:val="22"/>
          <w:vertAlign w:val="superscript"/>
        </w:rPr>
        <w:t>rd</w:t>
      </w:r>
      <w:r w:rsidRPr="0014633D">
        <w:rPr>
          <w:rFonts w:ascii="Times New Roman" w:hAnsi="Times New Roman"/>
          <w:sz w:val="22"/>
          <w:szCs w:val="22"/>
        </w:rPr>
        <w:t xml:space="preserve">. ed.). Sunderland, MA.: Sinauer Associates, Inc..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Mowbray, C. T., &amp; Holter, M. C. (2002). Mental health and mental illness: out of the closet? </w:t>
      </w:r>
      <w:r w:rsidRPr="0014633D">
        <w:rPr>
          <w:rFonts w:ascii="Times New Roman" w:hAnsi="Times New Roman"/>
          <w:i/>
          <w:sz w:val="22"/>
          <w:szCs w:val="22"/>
        </w:rPr>
        <w:t>Social Service Review, 76,</w:t>
      </w:r>
      <w:r w:rsidRPr="0014633D">
        <w:rPr>
          <w:rFonts w:ascii="Times New Roman" w:hAnsi="Times New Roman"/>
          <w:sz w:val="22"/>
          <w:szCs w:val="22"/>
        </w:rPr>
        <w:t xml:space="preserve"> 134-179.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Oyama, S. (1985). </w:t>
      </w:r>
      <w:r w:rsidRPr="0014633D">
        <w:rPr>
          <w:rFonts w:ascii="Times New Roman" w:hAnsi="Times New Roman"/>
          <w:i/>
          <w:sz w:val="22"/>
          <w:szCs w:val="22"/>
        </w:rPr>
        <w:t>The ontogeny of information: developmental systems and evolution.</w:t>
      </w:r>
      <w:r w:rsidRPr="0014633D">
        <w:rPr>
          <w:rFonts w:ascii="Times New Roman" w:hAnsi="Times New Roman"/>
          <w:sz w:val="22"/>
          <w:szCs w:val="22"/>
        </w:rPr>
        <w:t xml:space="preserve"> Cambridge, England: Cambridge University Press.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Pope, G. C. (2000). </w:t>
      </w:r>
      <w:r w:rsidRPr="0014633D">
        <w:rPr>
          <w:rFonts w:ascii="Times New Roman" w:hAnsi="Times New Roman"/>
          <w:i/>
          <w:sz w:val="22"/>
          <w:szCs w:val="22"/>
        </w:rPr>
        <w:t>The biological bases of human behavior.</w:t>
      </w:r>
      <w:r w:rsidRPr="0014633D">
        <w:rPr>
          <w:rFonts w:ascii="Times New Roman" w:hAnsi="Times New Roman"/>
          <w:sz w:val="22"/>
          <w:szCs w:val="22"/>
        </w:rPr>
        <w:t xml:space="preserve"> Boston: Allyn and Bacon.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Rauch, J. B., &amp; Tivoli, L. (1989). Social workers' knowledge and utilization of genetic services. </w:t>
      </w:r>
      <w:r w:rsidRPr="0014633D">
        <w:rPr>
          <w:rFonts w:ascii="Times New Roman" w:hAnsi="Times New Roman"/>
          <w:i/>
          <w:sz w:val="22"/>
          <w:szCs w:val="22"/>
        </w:rPr>
        <w:t>Social Work, 32,</w:t>
      </w:r>
      <w:r w:rsidRPr="0014633D">
        <w:rPr>
          <w:rFonts w:ascii="Times New Roman" w:hAnsi="Times New Roman"/>
          <w:sz w:val="22"/>
          <w:szCs w:val="22"/>
        </w:rPr>
        <w:t xml:space="preserve"> 55-56.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lastRenderedPageBreak/>
        <w:t xml:space="preserve">Robbins, S.P., Chatterjee, P., Canda, E.R. (2006).  </w:t>
      </w:r>
      <w:r w:rsidRPr="0014633D">
        <w:rPr>
          <w:rFonts w:ascii="Times New Roman" w:hAnsi="Times New Roman"/>
          <w:i/>
          <w:sz w:val="22"/>
          <w:szCs w:val="22"/>
        </w:rPr>
        <w:t xml:space="preserve">Contemporary human behavior theory: A critical perspective for social work.  </w:t>
      </w:r>
      <w:r w:rsidRPr="0014633D">
        <w:rPr>
          <w:rFonts w:ascii="Times New Roman" w:hAnsi="Times New Roman"/>
          <w:sz w:val="22"/>
          <w:szCs w:val="22"/>
        </w:rPr>
        <w:t>Boston, MA. Pearson.</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Rutter, M. (1998). Developmental catch-up and deficit following adoption after severe early global privation. </w:t>
      </w:r>
      <w:r w:rsidRPr="0014633D">
        <w:rPr>
          <w:rFonts w:ascii="Times New Roman" w:hAnsi="Times New Roman"/>
          <w:i/>
          <w:sz w:val="22"/>
          <w:szCs w:val="22"/>
        </w:rPr>
        <w:t>Journal of Child Psychology and Psychiatry, 39</w:t>
      </w:r>
      <w:r w:rsidRPr="0014633D">
        <w:rPr>
          <w:rFonts w:ascii="Times New Roman" w:hAnsi="Times New Roman"/>
          <w:sz w:val="22"/>
          <w:szCs w:val="22"/>
        </w:rPr>
        <w:t xml:space="preserve">(4), 465-476.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Sacks, O. (1998). </w:t>
      </w:r>
      <w:r w:rsidRPr="0014633D">
        <w:rPr>
          <w:rFonts w:ascii="Times New Roman" w:hAnsi="Times New Roman"/>
          <w:i/>
          <w:sz w:val="22"/>
          <w:szCs w:val="22"/>
        </w:rPr>
        <w:t>The man who mistook his wife for a hat.</w:t>
      </w:r>
      <w:r w:rsidRPr="0014633D">
        <w:rPr>
          <w:rFonts w:ascii="Times New Roman" w:hAnsi="Times New Roman"/>
          <w:sz w:val="22"/>
          <w:szCs w:val="22"/>
        </w:rPr>
        <w:t xml:space="preserve"> New York: Touchstone.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Saleebey, D. (1985). In clinical social work practice, is the body politic? </w:t>
      </w:r>
      <w:r w:rsidRPr="0014633D">
        <w:rPr>
          <w:rFonts w:ascii="Times New Roman" w:hAnsi="Times New Roman"/>
          <w:i/>
          <w:sz w:val="22"/>
          <w:szCs w:val="22"/>
        </w:rPr>
        <w:t>Social Service Review, 59,</w:t>
      </w:r>
      <w:r w:rsidRPr="0014633D">
        <w:rPr>
          <w:rFonts w:ascii="Times New Roman" w:hAnsi="Times New Roman"/>
          <w:sz w:val="22"/>
          <w:szCs w:val="22"/>
        </w:rPr>
        <w:t xml:space="preserve"> 578-592.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Saleebey, D. (1992). Biology's challenge to social work: embodying the person-in-environment perspective. </w:t>
      </w:r>
      <w:r w:rsidRPr="0014633D">
        <w:rPr>
          <w:rFonts w:ascii="Times New Roman" w:hAnsi="Times New Roman"/>
          <w:i/>
          <w:sz w:val="22"/>
          <w:szCs w:val="22"/>
        </w:rPr>
        <w:t>Social Work, 37</w:t>
      </w:r>
      <w:r w:rsidRPr="0014633D">
        <w:rPr>
          <w:rFonts w:ascii="Times New Roman" w:hAnsi="Times New Roman"/>
          <w:sz w:val="22"/>
          <w:szCs w:val="22"/>
        </w:rPr>
        <w:t xml:space="preserve">(2), 112-118.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Spence, R. T., DiNitto , D. M., &amp; Straussner, S. L. (Eds.). (2001). </w:t>
      </w:r>
      <w:r w:rsidRPr="0014633D">
        <w:rPr>
          <w:rFonts w:ascii="Times New Roman" w:hAnsi="Times New Roman"/>
          <w:i/>
          <w:sz w:val="22"/>
          <w:szCs w:val="22"/>
        </w:rPr>
        <w:t>Neurobiology of addictions: implications for clinical practice.</w:t>
      </w:r>
      <w:r w:rsidRPr="0014633D">
        <w:rPr>
          <w:rFonts w:ascii="Times New Roman" w:hAnsi="Times New Roman"/>
          <w:sz w:val="22"/>
          <w:szCs w:val="22"/>
        </w:rPr>
        <w:t xml:space="preserve"> New York: The Haworth Press, Inc..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Thelen, E. (1987). We think, therefore we move. </w:t>
      </w:r>
      <w:r w:rsidRPr="0014633D">
        <w:rPr>
          <w:rFonts w:ascii="Times New Roman" w:hAnsi="Times New Roman"/>
          <w:i/>
          <w:sz w:val="22"/>
          <w:szCs w:val="22"/>
        </w:rPr>
        <w:t>Cahiers de Psychologie Cognitive- Current Psychology of Cognition, 7</w:t>
      </w:r>
      <w:r w:rsidRPr="0014633D">
        <w:rPr>
          <w:rFonts w:ascii="Times New Roman" w:hAnsi="Times New Roman"/>
          <w:sz w:val="22"/>
          <w:szCs w:val="22"/>
        </w:rPr>
        <w:t xml:space="preserve">(2), 195-198.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Thelen, E., &amp; Smith, L. B. (1994). </w:t>
      </w:r>
      <w:r w:rsidRPr="0014633D">
        <w:rPr>
          <w:rFonts w:ascii="Times New Roman" w:hAnsi="Times New Roman"/>
          <w:i/>
          <w:sz w:val="22"/>
          <w:szCs w:val="22"/>
        </w:rPr>
        <w:t>A dynamic systems approach to the development of cognition and action.</w:t>
      </w:r>
      <w:r w:rsidRPr="0014633D">
        <w:rPr>
          <w:rFonts w:ascii="Times New Roman" w:hAnsi="Times New Roman"/>
          <w:sz w:val="22"/>
          <w:szCs w:val="22"/>
        </w:rPr>
        <w:t xml:space="preserve"> Cambridge, MA.: The MIT Press. </w:t>
      </w:r>
    </w:p>
    <w:p w:rsidR="00B70144" w:rsidRPr="0014633D" w:rsidRDefault="00B70144" w:rsidP="00182366">
      <w:pPr>
        <w:pStyle w:val="ReferenceFinal"/>
        <w:rPr>
          <w:rFonts w:ascii="Times New Roman" w:hAnsi="Times New Roman"/>
          <w:sz w:val="22"/>
          <w:szCs w:val="22"/>
        </w:rPr>
      </w:pPr>
      <w:r w:rsidRPr="0014633D">
        <w:rPr>
          <w:rFonts w:ascii="Times New Roman" w:hAnsi="Times New Roman"/>
          <w:sz w:val="22"/>
          <w:szCs w:val="22"/>
        </w:rPr>
        <w:t xml:space="preserve">Vaillant, G.E. (1977). </w:t>
      </w:r>
      <w:r w:rsidRPr="0014633D">
        <w:rPr>
          <w:rFonts w:ascii="Times New Roman" w:hAnsi="Times New Roman"/>
          <w:i/>
          <w:sz w:val="22"/>
          <w:szCs w:val="22"/>
        </w:rPr>
        <w:t>Adaptation to life</w:t>
      </w:r>
      <w:r w:rsidRPr="0014633D">
        <w:rPr>
          <w:rFonts w:ascii="Times New Roman" w:hAnsi="Times New Roman"/>
          <w:sz w:val="22"/>
          <w:szCs w:val="22"/>
        </w:rPr>
        <w:t xml:space="preserve">. </w:t>
      </w:r>
      <w:r w:rsidR="00F07862" w:rsidRPr="0014633D">
        <w:rPr>
          <w:rFonts w:ascii="Times New Roman" w:hAnsi="Times New Roman"/>
          <w:sz w:val="22"/>
          <w:szCs w:val="22"/>
        </w:rPr>
        <w:t>Boston: Little, Brown.</w:t>
      </w:r>
      <w:r w:rsidR="00F53272" w:rsidRPr="0014633D">
        <w:rPr>
          <w:rFonts w:ascii="Times New Roman" w:hAnsi="Times New Roman"/>
          <w:sz w:val="22"/>
          <w:szCs w:val="22"/>
        </w:rPr>
        <w:t xml:space="preserve"> </w:t>
      </w:r>
    </w:p>
    <w:p w:rsidR="00F53272" w:rsidRPr="0014633D" w:rsidRDefault="00F53272" w:rsidP="00182366">
      <w:pPr>
        <w:pStyle w:val="ReferenceFinal"/>
        <w:rPr>
          <w:rFonts w:ascii="Times New Roman" w:hAnsi="Times New Roman"/>
          <w:sz w:val="22"/>
          <w:szCs w:val="22"/>
        </w:rPr>
      </w:pPr>
      <w:r w:rsidRPr="0014633D">
        <w:rPr>
          <w:rFonts w:ascii="Times New Roman" w:hAnsi="Times New Roman"/>
          <w:sz w:val="22"/>
          <w:szCs w:val="22"/>
        </w:rPr>
        <w:t xml:space="preserve">Vaillant, G.E. (1993). </w:t>
      </w:r>
      <w:r w:rsidRPr="0014633D">
        <w:rPr>
          <w:rFonts w:ascii="Times New Roman" w:hAnsi="Times New Roman"/>
          <w:i/>
          <w:sz w:val="22"/>
          <w:szCs w:val="22"/>
        </w:rPr>
        <w:t>The wisdom of the ego.</w:t>
      </w:r>
      <w:r w:rsidRPr="0014633D">
        <w:rPr>
          <w:rFonts w:ascii="Times New Roman" w:hAnsi="Times New Roman"/>
          <w:sz w:val="22"/>
          <w:szCs w:val="22"/>
        </w:rPr>
        <w:t xml:space="preserve"> Cambridge, MA: Harvard University Press.</w:t>
      </w:r>
    </w:p>
    <w:p w:rsidR="00F53272" w:rsidRPr="0014633D" w:rsidRDefault="00F53272" w:rsidP="00182366">
      <w:pPr>
        <w:pStyle w:val="ReferenceFinal"/>
        <w:rPr>
          <w:rFonts w:ascii="Times New Roman" w:hAnsi="Times New Roman"/>
          <w:sz w:val="22"/>
          <w:szCs w:val="22"/>
        </w:rPr>
      </w:pPr>
      <w:r w:rsidRPr="0014633D">
        <w:rPr>
          <w:rFonts w:ascii="Times New Roman" w:hAnsi="Times New Roman"/>
          <w:sz w:val="22"/>
          <w:szCs w:val="22"/>
        </w:rPr>
        <w:t xml:space="preserve">Vaillant, G.E. (1995). </w:t>
      </w:r>
      <w:r w:rsidRPr="0014633D">
        <w:rPr>
          <w:rFonts w:ascii="Times New Roman" w:hAnsi="Times New Roman"/>
          <w:i/>
          <w:sz w:val="22"/>
          <w:szCs w:val="22"/>
        </w:rPr>
        <w:t>The natural history of alcoholism revisited.</w:t>
      </w:r>
      <w:r w:rsidRPr="0014633D">
        <w:rPr>
          <w:rFonts w:ascii="Times New Roman" w:hAnsi="Times New Roman"/>
          <w:sz w:val="22"/>
          <w:szCs w:val="22"/>
        </w:rPr>
        <w:t xml:space="preserve"> Cambridge, MA: Harvard University Press.</w:t>
      </w:r>
    </w:p>
    <w:p w:rsidR="00F53272" w:rsidRPr="0014633D" w:rsidRDefault="00F53272" w:rsidP="00182366">
      <w:pPr>
        <w:pStyle w:val="ReferenceFinal"/>
        <w:rPr>
          <w:rFonts w:ascii="Times New Roman" w:hAnsi="Times New Roman"/>
          <w:sz w:val="22"/>
          <w:szCs w:val="22"/>
        </w:rPr>
      </w:pPr>
      <w:r w:rsidRPr="0014633D">
        <w:rPr>
          <w:rFonts w:ascii="Times New Roman" w:hAnsi="Times New Roman"/>
          <w:sz w:val="22"/>
          <w:szCs w:val="22"/>
        </w:rPr>
        <w:t xml:space="preserve">Vaillant, G.E. (2002). </w:t>
      </w:r>
      <w:r w:rsidRPr="0014633D">
        <w:rPr>
          <w:rFonts w:ascii="Times New Roman" w:hAnsi="Times New Roman"/>
          <w:i/>
          <w:sz w:val="22"/>
          <w:szCs w:val="22"/>
        </w:rPr>
        <w:t>Aging well</w:t>
      </w:r>
      <w:r w:rsidRPr="0014633D">
        <w:rPr>
          <w:rFonts w:ascii="Times New Roman" w:hAnsi="Times New Roman"/>
          <w:sz w:val="22"/>
          <w:szCs w:val="22"/>
        </w:rPr>
        <w:t xml:space="preserve">. </w:t>
      </w:r>
      <w:r w:rsidR="00F9044A" w:rsidRPr="0014633D">
        <w:rPr>
          <w:rFonts w:ascii="Times New Roman" w:hAnsi="Times New Roman"/>
          <w:sz w:val="22"/>
          <w:szCs w:val="22"/>
        </w:rPr>
        <w:t xml:space="preserve"> New York: Time Warner.</w:t>
      </w:r>
    </w:p>
    <w:p w:rsidR="00B70144" w:rsidRPr="0014633D" w:rsidRDefault="00B70144" w:rsidP="00182366">
      <w:pPr>
        <w:pStyle w:val="ReferenceFinal"/>
        <w:rPr>
          <w:rFonts w:ascii="Times New Roman" w:hAnsi="Times New Roman"/>
          <w:sz w:val="22"/>
          <w:szCs w:val="22"/>
        </w:rPr>
      </w:pPr>
      <w:r w:rsidRPr="0014633D">
        <w:rPr>
          <w:rFonts w:ascii="Times New Roman" w:hAnsi="Times New Roman"/>
          <w:sz w:val="22"/>
          <w:szCs w:val="22"/>
        </w:rPr>
        <w:t xml:space="preserve">Vaillant, G.E. (2008). </w:t>
      </w:r>
      <w:r w:rsidRPr="0014633D">
        <w:rPr>
          <w:rFonts w:ascii="Times New Roman" w:hAnsi="Times New Roman"/>
          <w:i/>
          <w:sz w:val="22"/>
          <w:szCs w:val="22"/>
        </w:rPr>
        <w:t xml:space="preserve">Spiritual evolution. </w:t>
      </w:r>
      <w:r w:rsidRPr="0014633D">
        <w:rPr>
          <w:rFonts w:ascii="Times New Roman" w:hAnsi="Times New Roman"/>
          <w:sz w:val="22"/>
          <w:szCs w:val="22"/>
        </w:rPr>
        <w:t>New York: Broadway Books.</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Weick, A. (1986). The philosophical context of a health model of social work. </w:t>
      </w:r>
      <w:r w:rsidRPr="0014633D">
        <w:rPr>
          <w:rFonts w:ascii="Times New Roman" w:hAnsi="Times New Roman"/>
          <w:i/>
          <w:sz w:val="22"/>
          <w:szCs w:val="22"/>
        </w:rPr>
        <w:t>Social Casework, 67,</w:t>
      </w:r>
      <w:r w:rsidRPr="0014633D">
        <w:rPr>
          <w:rFonts w:ascii="Times New Roman" w:hAnsi="Times New Roman"/>
          <w:sz w:val="22"/>
          <w:szCs w:val="22"/>
        </w:rPr>
        <w:t xml:space="preserve"> 551-559. </w:t>
      </w:r>
    </w:p>
    <w:p w:rsidR="00182366" w:rsidRPr="0014633D" w:rsidRDefault="00182366" w:rsidP="00182366">
      <w:pPr>
        <w:pStyle w:val="ReferenceFinal"/>
        <w:rPr>
          <w:rFonts w:ascii="Times New Roman" w:hAnsi="Times New Roman"/>
          <w:sz w:val="22"/>
          <w:szCs w:val="22"/>
        </w:rPr>
      </w:pPr>
      <w:r w:rsidRPr="0014633D">
        <w:rPr>
          <w:rFonts w:ascii="Times New Roman" w:hAnsi="Times New Roman"/>
          <w:sz w:val="22"/>
          <w:szCs w:val="22"/>
        </w:rPr>
        <w:t xml:space="preserve">Zimmerman, J. H. (1989). Determinism, science, and social work. </w:t>
      </w:r>
      <w:r w:rsidRPr="0014633D">
        <w:rPr>
          <w:rFonts w:ascii="Times New Roman" w:hAnsi="Times New Roman"/>
          <w:i/>
          <w:sz w:val="22"/>
          <w:szCs w:val="22"/>
        </w:rPr>
        <w:t>Social Service Review, 63,</w:t>
      </w:r>
      <w:r w:rsidRPr="0014633D">
        <w:rPr>
          <w:rFonts w:ascii="Times New Roman" w:hAnsi="Times New Roman"/>
          <w:sz w:val="22"/>
          <w:szCs w:val="22"/>
        </w:rPr>
        <w:t xml:space="preserve"> 52-62. </w:t>
      </w:r>
    </w:p>
    <w:bookmarkEnd w:id="1"/>
    <w:p w:rsidR="00182366" w:rsidRPr="0014633D" w:rsidRDefault="00182366" w:rsidP="00182366">
      <w:pPr>
        <w:pStyle w:val="References"/>
        <w:rPr>
          <w:rFonts w:ascii="Times New Roman" w:hAnsi="Times New Roman"/>
          <w:sz w:val="22"/>
          <w:szCs w:val="22"/>
        </w:rPr>
      </w:pPr>
    </w:p>
    <w:p w:rsidR="00AC0518" w:rsidRPr="0014633D" w:rsidRDefault="00AC0518">
      <w:pPr>
        <w:rPr>
          <w:sz w:val="22"/>
          <w:szCs w:val="22"/>
        </w:rPr>
      </w:pPr>
    </w:p>
    <w:sectPr w:rsidR="00AC0518" w:rsidRPr="0014633D" w:rsidSect="00133268">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CA" w:rsidRDefault="00DF4DCA" w:rsidP="009F5885">
      <w:r>
        <w:separator/>
      </w:r>
    </w:p>
  </w:endnote>
  <w:endnote w:type="continuationSeparator" w:id="0">
    <w:p w:rsidR="00DF4DCA" w:rsidRDefault="00DF4DCA" w:rsidP="009F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CA" w:rsidRDefault="00DF4DCA" w:rsidP="009F5885">
      <w:r>
        <w:separator/>
      </w:r>
    </w:p>
  </w:footnote>
  <w:footnote w:type="continuationSeparator" w:id="0">
    <w:p w:rsidR="00DF4DCA" w:rsidRDefault="00DF4DCA" w:rsidP="009F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1F" w:rsidRDefault="000A761F">
    <w:pPr>
      <w:pStyle w:val="Header"/>
      <w:jc w:val="right"/>
    </w:pPr>
    <w:r>
      <w:fldChar w:fldCharType="begin"/>
    </w:r>
    <w:r>
      <w:instrText xml:space="preserve"> PAGE   \* MERGEFORMAT </w:instrText>
    </w:r>
    <w:r>
      <w:fldChar w:fldCharType="separate"/>
    </w:r>
    <w:r w:rsidR="00073E72">
      <w:rPr>
        <w:noProof/>
      </w:rPr>
      <w:t>8</w:t>
    </w:r>
    <w:r>
      <w:fldChar w:fldCharType="end"/>
    </w:r>
  </w:p>
  <w:p w:rsidR="000A761F" w:rsidRDefault="000A7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E52C5"/>
    <w:multiLevelType w:val="hybridMultilevel"/>
    <w:tmpl w:val="2AEC0E44"/>
    <w:lvl w:ilvl="0" w:tplc="440E22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649E2"/>
    <w:multiLevelType w:val="hybridMultilevel"/>
    <w:tmpl w:val="EAFEB194"/>
    <w:lvl w:ilvl="0" w:tplc="38F0D8B2">
      <w:start w:val="1"/>
      <w:numFmt w:val="upperLetter"/>
      <w:lvlText w:val="%1."/>
      <w:lvlJc w:val="left"/>
      <w:pPr>
        <w:tabs>
          <w:tab w:val="num" w:pos="720"/>
        </w:tabs>
        <w:ind w:left="720" w:hanging="360"/>
      </w:pPr>
      <w:rPr>
        <w:rFonts w:hint="default"/>
        <w:i w:val="0"/>
      </w:rPr>
    </w:lvl>
    <w:lvl w:ilvl="1" w:tplc="0DFAA0A8">
      <w:start w:val="4"/>
      <w:numFmt w:val="upperLetter"/>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26F5D3A"/>
    <w:multiLevelType w:val="hybridMultilevel"/>
    <w:tmpl w:val="EAFEB194"/>
    <w:lvl w:ilvl="0" w:tplc="38F0D8B2">
      <w:start w:val="1"/>
      <w:numFmt w:val="upperLetter"/>
      <w:lvlText w:val="%1."/>
      <w:lvlJc w:val="left"/>
      <w:pPr>
        <w:tabs>
          <w:tab w:val="num" w:pos="450"/>
        </w:tabs>
        <w:ind w:left="450" w:hanging="360"/>
      </w:pPr>
      <w:rPr>
        <w:rFonts w:hint="default"/>
        <w:i w:val="0"/>
      </w:rPr>
    </w:lvl>
    <w:lvl w:ilvl="1" w:tplc="0DFAA0A8">
      <w:start w:val="4"/>
      <w:numFmt w:val="upperLetter"/>
      <w:lvlText w:val="%2."/>
      <w:lvlJc w:val="left"/>
      <w:pPr>
        <w:tabs>
          <w:tab w:val="num" w:pos="540"/>
        </w:tabs>
        <w:ind w:left="540" w:hanging="360"/>
      </w:pPr>
      <w:rPr>
        <w:rFonts w:hint="default"/>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9934AAF"/>
    <w:multiLevelType w:val="hybridMultilevel"/>
    <w:tmpl w:val="475E5EEE"/>
    <w:lvl w:ilvl="0" w:tplc="CA9659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8473A"/>
    <w:multiLevelType w:val="hybridMultilevel"/>
    <w:tmpl w:val="ED5A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A4E13"/>
    <w:multiLevelType w:val="hybridMultilevel"/>
    <w:tmpl w:val="D1DA12AE"/>
    <w:lvl w:ilvl="0" w:tplc="23F849F0">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6E5E02"/>
    <w:multiLevelType w:val="hybridMultilevel"/>
    <w:tmpl w:val="57A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11752A"/>
    <w:multiLevelType w:val="hybridMultilevel"/>
    <w:tmpl w:val="91DAD212"/>
    <w:lvl w:ilvl="0" w:tplc="98AC6900">
      <w:start w:val="1"/>
      <w:numFmt w:val="decimal"/>
      <w:lvlText w:val="%1."/>
      <w:lvlJc w:val="left"/>
      <w:pPr>
        <w:tabs>
          <w:tab w:val="num" w:pos="720"/>
        </w:tabs>
        <w:ind w:left="720" w:hanging="360"/>
      </w:pPr>
      <w:rPr>
        <w:b w:val="0"/>
        <w:sz w:val="24"/>
        <w:szCs w:val="24"/>
      </w:rPr>
    </w:lvl>
    <w:lvl w:ilvl="1" w:tplc="608A2712">
      <w:start w:val="2"/>
      <w:numFmt w:val="upp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A31C3"/>
    <w:multiLevelType w:val="hybridMultilevel"/>
    <w:tmpl w:val="BB36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30F9E"/>
    <w:multiLevelType w:val="hybridMultilevel"/>
    <w:tmpl w:val="C346EEFA"/>
    <w:lvl w:ilvl="0" w:tplc="6BEE1390">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315435B"/>
    <w:multiLevelType w:val="hybridMultilevel"/>
    <w:tmpl w:val="5ED0CD60"/>
    <w:lvl w:ilvl="0" w:tplc="75A0161A">
      <w:start w:val="1"/>
      <w:numFmt w:val="upperRoman"/>
      <w:lvlText w:val="%1."/>
      <w:lvlJc w:val="left"/>
      <w:pPr>
        <w:ind w:left="810" w:hanging="360"/>
      </w:pPr>
      <w:rPr>
        <w:rFonts w:hint="default"/>
        <w:b/>
        <w:sz w:val="28"/>
        <w:szCs w:val="28"/>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53662A7"/>
    <w:multiLevelType w:val="hybridMultilevel"/>
    <w:tmpl w:val="E4B6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B71DE"/>
    <w:multiLevelType w:val="hybridMultilevel"/>
    <w:tmpl w:val="52ECBC4C"/>
    <w:lvl w:ilvl="0" w:tplc="4FAA7E36">
      <w:start w:val="17"/>
      <w:numFmt w:val="upperRoman"/>
      <w:lvlText w:val="%1."/>
      <w:lvlJc w:val="left"/>
      <w:pPr>
        <w:tabs>
          <w:tab w:val="num" w:pos="720"/>
        </w:tabs>
        <w:ind w:left="720" w:hanging="720"/>
      </w:pPr>
      <w:rPr>
        <w:rFonts w:ascii="Arial" w:hAnsi="Arial" w:cs="Arial"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68A63B1"/>
    <w:multiLevelType w:val="hybridMultilevel"/>
    <w:tmpl w:val="0D92F828"/>
    <w:lvl w:ilvl="0" w:tplc="7C7048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C49A8"/>
    <w:multiLevelType w:val="hybridMultilevel"/>
    <w:tmpl w:val="E6D2A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986438"/>
    <w:multiLevelType w:val="hybridMultilevel"/>
    <w:tmpl w:val="B678D238"/>
    <w:lvl w:ilvl="0" w:tplc="440E2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F5B00"/>
    <w:multiLevelType w:val="hybridMultilevel"/>
    <w:tmpl w:val="2AA0AD82"/>
    <w:lvl w:ilvl="0" w:tplc="0409000F">
      <w:start w:val="1"/>
      <w:numFmt w:val="decimal"/>
      <w:lvlText w:val="%1."/>
      <w:lvlJc w:val="left"/>
      <w:pPr>
        <w:tabs>
          <w:tab w:val="num" w:pos="450"/>
        </w:tabs>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7110F"/>
    <w:multiLevelType w:val="hybridMultilevel"/>
    <w:tmpl w:val="D03C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E3771"/>
    <w:multiLevelType w:val="hybridMultilevel"/>
    <w:tmpl w:val="4A760638"/>
    <w:lvl w:ilvl="0" w:tplc="75A0161A">
      <w:start w:val="1"/>
      <w:numFmt w:val="upperRoman"/>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9"/>
  </w:num>
  <w:num w:numId="6">
    <w:abstractNumId w:val="12"/>
  </w:num>
  <w:num w:numId="7">
    <w:abstractNumId w:val="1"/>
  </w:num>
  <w:num w:numId="8">
    <w:abstractNumId w:val="13"/>
  </w:num>
  <w:num w:numId="9">
    <w:abstractNumId w:val="10"/>
  </w:num>
  <w:num w:numId="10">
    <w:abstractNumId w:val="19"/>
  </w:num>
  <w:num w:numId="11">
    <w:abstractNumId w:val="3"/>
  </w:num>
  <w:num w:numId="12">
    <w:abstractNumId w:val="17"/>
  </w:num>
  <w:num w:numId="13">
    <w:abstractNumId w:val="11"/>
  </w:num>
  <w:num w:numId="14">
    <w:abstractNumId w:val="18"/>
  </w:num>
  <w:num w:numId="15">
    <w:abstractNumId w:val="16"/>
  </w:num>
  <w:num w:numId="16">
    <w:abstractNumId w:val="8"/>
  </w:num>
  <w:num w:numId="17">
    <w:abstractNumId w:val="15"/>
  </w:num>
  <w:num w:numId="18">
    <w:abstractNumId w:val="4"/>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51"/>
    <w:rsid w:val="000252EA"/>
    <w:rsid w:val="00027B04"/>
    <w:rsid w:val="00036E29"/>
    <w:rsid w:val="00050846"/>
    <w:rsid w:val="0005740F"/>
    <w:rsid w:val="000616F9"/>
    <w:rsid w:val="00063B86"/>
    <w:rsid w:val="00065AF8"/>
    <w:rsid w:val="00073E72"/>
    <w:rsid w:val="000807D7"/>
    <w:rsid w:val="000A761F"/>
    <w:rsid w:val="000B2A04"/>
    <w:rsid w:val="000B7C5D"/>
    <w:rsid w:val="001047F5"/>
    <w:rsid w:val="00133268"/>
    <w:rsid w:val="0014633D"/>
    <w:rsid w:val="001472F0"/>
    <w:rsid w:val="0017345B"/>
    <w:rsid w:val="00182366"/>
    <w:rsid w:val="001A7C9E"/>
    <w:rsid w:val="001D5AFF"/>
    <w:rsid w:val="001E7D55"/>
    <w:rsid w:val="00203F50"/>
    <w:rsid w:val="00282944"/>
    <w:rsid w:val="00287CC7"/>
    <w:rsid w:val="0029405F"/>
    <w:rsid w:val="002A7BC7"/>
    <w:rsid w:val="002D3F33"/>
    <w:rsid w:val="002D7F76"/>
    <w:rsid w:val="002E259C"/>
    <w:rsid w:val="002E7E0E"/>
    <w:rsid w:val="003003F0"/>
    <w:rsid w:val="00317283"/>
    <w:rsid w:val="003225FC"/>
    <w:rsid w:val="00384B69"/>
    <w:rsid w:val="004B2D9B"/>
    <w:rsid w:val="004D6BCE"/>
    <w:rsid w:val="00534FD3"/>
    <w:rsid w:val="00552E2C"/>
    <w:rsid w:val="00571086"/>
    <w:rsid w:val="005A5191"/>
    <w:rsid w:val="005B1C26"/>
    <w:rsid w:val="00602538"/>
    <w:rsid w:val="006450B0"/>
    <w:rsid w:val="00645644"/>
    <w:rsid w:val="006B3E25"/>
    <w:rsid w:val="006B43A9"/>
    <w:rsid w:val="006C1460"/>
    <w:rsid w:val="006D2964"/>
    <w:rsid w:val="006F4C3F"/>
    <w:rsid w:val="0074122E"/>
    <w:rsid w:val="0075767D"/>
    <w:rsid w:val="007A4014"/>
    <w:rsid w:val="007B3F7B"/>
    <w:rsid w:val="00816348"/>
    <w:rsid w:val="00820979"/>
    <w:rsid w:val="00825E45"/>
    <w:rsid w:val="0086168E"/>
    <w:rsid w:val="0086480E"/>
    <w:rsid w:val="008805E4"/>
    <w:rsid w:val="00886479"/>
    <w:rsid w:val="008C35B8"/>
    <w:rsid w:val="008E351B"/>
    <w:rsid w:val="009135F9"/>
    <w:rsid w:val="00955F49"/>
    <w:rsid w:val="00963151"/>
    <w:rsid w:val="009638DF"/>
    <w:rsid w:val="00963CC4"/>
    <w:rsid w:val="009654FD"/>
    <w:rsid w:val="009C6AFA"/>
    <w:rsid w:val="009D7B3B"/>
    <w:rsid w:val="009E6C70"/>
    <w:rsid w:val="009F4936"/>
    <w:rsid w:val="009F5885"/>
    <w:rsid w:val="00A221F5"/>
    <w:rsid w:val="00A46148"/>
    <w:rsid w:val="00A96D1E"/>
    <w:rsid w:val="00AA052E"/>
    <w:rsid w:val="00AA4B72"/>
    <w:rsid w:val="00AA5745"/>
    <w:rsid w:val="00AC0518"/>
    <w:rsid w:val="00AC172B"/>
    <w:rsid w:val="00AC1A4A"/>
    <w:rsid w:val="00AC4DB1"/>
    <w:rsid w:val="00AD0064"/>
    <w:rsid w:val="00B00215"/>
    <w:rsid w:val="00B009A1"/>
    <w:rsid w:val="00B50E5F"/>
    <w:rsid w:val="00B70144"/>
    <w:rsid w:val="00BB111B"/>
    <w:rsid w:val="00BB2BE5"/>
    <w:rsid w:val="00BD72D4"/>
    <w:rsid w:val="00BE7F36"/>
    <w:rsid w:val="00C41164"/>
    <w:rsid w:val="00C431EA"/>
    <w:rsid w:val="00C65385"/>
    <w:rsid w:val="00C84BBB"/>
    <w:rsid w:val="00CE3E01"/>
    <w:rsid w:val="00D42047"/>
    <w:rsid w:val="00DC5D24"/>
    <w:rsid w:val="00DD517A"/>
    <w:rsid w:val="00DE0FA5"/>
    <w:rsid w:val="00DF48AC"/>
    <w:rsid w:val="00DF4DCA"/>
    <w:rsid w:val="00DF5D36"/>
    <w:rsid w:val="00E06F8C"/>
    <w:rsid w:val="00E109ED"/>
    <w:rsid w:val="00E178F0"/>
    <w:rsid w:val="00E36F91"/>
    <w:rsid w:val="00E417A3"/>
    <w:rsid w:val="00E424BA"/>
    <w:rsid w:val="00E4479F"/>
    <w:rsid w:val="00E47920"/>
    <w:rsid w:val="00E65354"/>
    <w:rsid w:val="00E7599F"/>
    <w:rsid w:val="00EA1CAE"/>
    <w:rsid w:val="00EB30E9"/>
    <w:rsid w:val="00EB5506"/>
    <w:rsid w:val="00EC4FCD"/>
    <w:rsid w:val="00ED3FBE"/>
    <w:rsid w:val="00ED5ADC"/>
    <w:rsid w:val="00F05DD6"/>
    <w:rsid w:val="00F07862"/>
    <w:rsid w:val="00F2410B"/>
    <w:rsid w:val="00F53272"/>
    <w:rsid w:val="00F9044A"/>
    <w:rsid w:val="00FA3751"/>
    <w:rsid w:val="00FE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955720-7F34-4F76-89D2-9159D48B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151"/>
    <w:rPr>
      <w:sz w:val="24"/>
      <w:szCs w:val="24"/>
    </w:rPr>
  </w:style>
  <w:style w:type="paragraph" w:styleId="Heading2">
    <w:name w:val="heading 2"/>
    <w:basedOn w:val="Normal"/>
    <w:next w:val="Normal"/>
    <w:qFormat/>
    <w:rsid w:val="00AA574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3151"/>
    <w:rPr>
      <w:color w:val="0000FF"/>
      <w:u w:val="single"/>
    </w:rPr>
  </w:style>
  <w:style w:type="paragraph" w:customStyle="1" w:styleId="ReferenceFinal">
    <w:name w:val="Reference Final"/>
    <w:basedOn w:val="Normal"/>
    <w:rsid w:val="00816348"/>
    <w:pPr>
      <w:keepLines/>
      <w:tabs>
        <w:tab w:val="left" w:pos="432"/>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customStyle="1" w:styleId="References">
    <w:name w:val="References"/>
    <w:basedOn w:val="Normal"/>
    <w:rsid w:val="00182366"/>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customStyle="1" w:styleId="StyleLinespacingMultiple142li">
    <w:name w:val="Style Line spacing:  Multiple 1.42 li"/>
    <w:basedOn w:val="Normal"/>
    <w:rsid w:val="00AA5745"/>
    <w:pPr>
      <w:widowControl w:val="0"/>
      <w:autoSpaceDE w:val="0"/>
      <w:autoSpaceDN w:val="0"/>
      <w:adjustRightInd w:val="0"/>
      <w:ind w:firstLine="330"/>
      <w:jc w:val="both"/>
    </w:pPr>
    <w:rPr>
      <w:sz w:val="20"/>
      <w:szCs w:val="20"/>
    </w:rPr>
  </w:style>
  <w:style w:type="paragraph" w:styleId="Header">
    <w:name w:val="header"/>
    <w:basedOn w:val="Normal"/>
    <w:link w:val="HeaderChar"/>
    <w:uiPriority w:val="99"/>
    <w:rsid w:val="009F5885"/>
    <w:pPr>
      <w:tabs>
        <w:tab w:val="center" w:pos="4680"/>
        <w:tab w:val="right" w:pos="9360"/>
      </w:tabs>
    </w:pPr>
  </w:style>
  <w:style w:type="character" w:customStyle="1" w:styleId="HeaderChar">
    <w:name w:val="Header Char"/>
    <w:link w:val="Header"/>
    <w:uiPriority w:val="99"/>
    <w:rsid w:val="009F5885"/>
    <w:rPr>
      <w:sz w:val="24"/>
      <w:szCs w:val="24"/>
    </w:rPr>
  </w:style>
  <w:style w:type="paragraph" w:styleId="Footer">
    <w:name w:val="footer"/>
    <w:basedOn w:val="Normal"/>
    <w:link w:val="FooterChar"/>
    <w:rsid w:val="009F5885"/>
    <w:pPr>
      <w:tabs>
        <w:tab w:val="center" w:pos="4680"/>
        <w:tab w:val="right" w:pos="9360"/>
      </w:tabs>
    </w:pPr>
  </w:style>
  <w:style w:type="character" w:customStyle="1" w:styleId="FooterChar">
    <w:name w:val="Footer Char"/>
    <w:link w:val="Footer"/>
    <w:rsid w:val="009F5885"/>
    <w:rPr>
      <w:sz w:val="24"/>
      <w:szCs w:val="24"/>
    </w:rPr>
  </w:style>
  <w:style w:type="character" w:styleId="Strong">
    <w:name w:val="Strong"/>
    <w:uiPriority w:val="22"/>
    <w:qFormat/>
    <w:rsid w:val="005B1C26"/>
    <w:rPr>
      <w:b/>
      <w:bCs/>
    </w:rPr>
  </w:style>
  <w:style w:type="paragraph" w:customStyle="1" w:styleId="Default">
    <w:name w:val="Default"/>
    <w:uiPriority w:val="99"/>
    <w:rsid w:val="00EC4FCD"/>
    <w:pPr>
      <w:autoSpaceDE w:val="0"/>
      <w:autoSpaceDN w:val="0"/>
      <w:adjustRightInd w:val="0"/>
    </w:pPr>
    <w:rPr>
      <w:color w:val="000000"/>
      <w:sz w:val="24"/>
      <w:szCs w:val="24"/>
    </w:rPr>
  </w:style>
  <w:style w:type="character" w:customStyle="1" w:styleId="cfplist1">
    <w:name w:val="cfplist1"/>
    <w:rsid w:val="00E65354"/>
    <w:rPr>
      <w:color w:val="000000"/>
    </w:rPr>
  </w:style>
  <w:style w:type="paragraph" w:styleId="NormalWeb">
    <w:name w:val="Normal (Web)"/>
    <w:basedOn w:val="Normal"/>
    <w:uiPriority w:val="99"/>
    <w:unhideWhenUsed/>
    <w:rsid w:val="006D2964"/>
    <w:pPr>
      <w:spacing w:before="100" w:beforeAutospacing="1" w:after="100" w:afterAutospacing="1"/>
    </w:pPr>
    <w:rPr>
      <w:lang w:eastAsia="zh-CN"/>
    </w:rPr>
  </w:style>
  <w:style w:type="paragraph" w:styleId="BalloonText">
    <w:name w:val="Balloon Text"/>
    <w:basedOn w:val="Normal"/>
    <w:link w:val="BalloonTextChar"/>
    <w:rsid w:val="00552E2C"/>
    <w:rPr>
      <w:rFonts w:ascii="Segoe UI" w:hAnsi="Segoe UI" w:cs="Segoe UI"/>
      <w:sz w:val="18"/>
      <w:szCs w:val="18"/>
    </w:rPr>
  </w:style>
  <w:style w:type="character" w:customStyle="1" w:styleId="BalloonTextChar">
    <w:name w:val="Balloon Text Char"/>
    <w:link w:val="BalloonText"/>
    <w:rsid w:val="00552E2C"/>
    <w:rPr>
      <w:rFonts w:ascii="Segoe UI" w:hAnsi="Segoe UI" w:cs="Segoe UI"/>
      <w:sz w:val="18"/>
      <w:szCs w:val="18"/>
    </w:rPr>
  </w:style>
  <w:style w:type="paragraph" w:styleId="NoSpacing">
    <w:name w:val="No Spacing"/>
    <w:uiPriority w:val="1"/>
    <w:qFormat/>
    <w:rsid w:val="00146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library/help/subject-librarians.php" TargetMode="External"/><Relationship Id="rId26" Type="http://schemas.openxmlformats.org/officeDocument/2006/relationships/hyperlink" Target="http://grad.pci.uta.edu/about/catalog/current/general/regulations/" TargetMode="External"/><Relationship Id="rId3" Type="http://schemas.openxmlformats.org/officeDocument/2006/relationships/settings" Target="settings.xml"/><Relationship Id="rId21" Type="http://schemas.openxmlformats.org/officeDocument/2006/relationships/hyperlink" Target="http://discover.uta.edu/" TargetMode="External"/><Relationship Id="rId7" Type="http://schemas.openxmlformats.org/officeDocument/2006/relationships/hyperlink" Target="mailto:bower@uta.edu" TargetMode="External"/><Relationship Id="rId12" Type="http://schemas.openxmlformats.org/officeDocument/2006/relationships/hyperlink" Target="mailto:ChrisKilgore@uta.edu" TargetMode="External"/><Relationship Id="rId17" Type="http://schemas.openxmlformats.org/officeDocument/2006/relationships/hyperlink" Target="http://libguides.uta.edu" TargetMode="External"/><Relationship Id="rId25" Type="http://schemas.openxmlformats.org/officeDocument/2006/relationships/hyperlink" Target="http://ask.uta.edu/" TargetMode="External"/><Relationship Id="rId2" Type="http://schemas.openxmlformats.org/officeDocument/2006/relationships/styles" Target="styles.xml"/><Relationship Id="rId16" Type="http://schemas.openxmlformats.org/officeDocument/2006/relationships/hyperlink" Target="http://www.uta.edu/library" TargetMode="External"/><Relationship Id="rId20" Type="http://schemas.openxmlformats.org/officeDocument/2006/relationships/hyperlink" Target="http://pulse.uta.edu/vwebv/enterCourseReserve.d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resources" TargetMode="External"/><Relationship Id="rId24" Type="http://schemas.openxmlformats.org/officeDocument/2006/relationships/hyperlink" Target="http://libguides.uta.edu/offcampus" TargetMode="External"/><Relationship Id="rId5" Type="http://schemas.openxmlformats.org/officeDocument/2006/relationships/footnotes" Target="footnotes.xml"/><Relationship Id="rId15" Type="http://schemas.openxmlformats.org/officeDocument/2006/relationships/hyperlink" Target="mailto:dillard@uta.edu" TargetMode="External"/><Relationship Id="rId23" Type="http://schemas.openxmlformats.org/officeDocument/2006/relationships/hyperlink" Target="http://www.uta.edu/library/help/tutorials.php" TargetMode="External"/><Relationship Id="rId28" Type="http://schemas.openxmlformats.org/officeDocument/2006/relationships/fontTable" Target="fontTable.xml"/><Relationship Id="rId10" Type="http://schemas.openxmlformats.org/officeDocument/2006/relationships/hyperlink" Target="mailto:resources@uta.edu" TargetMode="External"/><Relationship Id="rId19" Type="http://schemas.openxmlformats.org/officeDocument/2006/relationships/hyperlink" Target="http://www.uta.edu/library/databases/index.php"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sfs" TargetMode="External"/><Relationship Id="rId22" Type="http://schemas.openxmlformats.org/officeDocument/2006/relationships/hyperlink" Target="http://liblink.uta.edu/UTAlink/az"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5124</Words>
  <Characters>32441</Characters>
  <Application>Microsoft Office Word</Application>
  <DocSecurity>0</DocSecurity>
  <Lines>270</Lines>
  <Paragraphs>74</Paragraphs>
  <ScaleCrop>false</ScaleCrop>
  <HeadingPairs>
    <vt:vector size="2" baseType="variant">
      <vt:variant>
        <vt:lpstr>Title</vt:lpstr>
      </vt:variant>
      <vt:variant>
        <vt:i4>1</vt:i4>
      </vt:variant>
    </vt:vector>
  </HeadingPairs>
  <TitlesOfParts>
    <vt:vector size="1" baseType="lpstr">
      <vt:lpstr>Syllabus Template</vt:lpstr>
    </vt:vector>
  </TitlesOfParts>
  <Company>School of Social Work UTA</Company>
  <LinksUpToDate>false</LinksUpToDate>
  <CharactersWithSpaces>37491</CharactersWithSpaces>
  <SharedDoc>false</SharedDoc>
  <HLinks>
    <vt:vector size="120" baseType="variant">
      <vt:variant>
        <vt:i4>1245204</vt:i4>
      </vt:variant>
      <vt:variant>
        <vt:i4>57</vt:i4>
      </vt:variant>
      <vt:variant>
        <vt:i4>0</vt:i4>
      </vt:variant>
      <vt:variant>
        <vt:i4>5</vt:i4>
      </vt:variant>
      <vt:variant>
        <vt:lpwstr>http://grad.pci.uta.edu/about/catalog/current/general/regulations/</vt:lpwstr>
      </vt:variant>
      <vt:variant>
        <vt:lpwstr>gradegrievances</vt:lpwstr>
      </vt:variant>
      <vt:variant>
        <vt:i4>2424938</vt:i4>
      </vt:variant>
      <vt:variant>
        <vt:i4>54</vt:i4>
      </vt:variant>
      <vt:variant>
        <vt:i4>0</vt:i4>
      </vt:variant>
      <vt:variant>
        <vt:i4>5</vt:i4>
      </vt:variant>
      <vt:variant>
        <vt:lpwstr>http://ask.uta.edu/</vt:lpwstr>
      </vt:variant>
      <vt:variant>
        <vt:lpwstr/>
      </vt:variant>
      <vt:variant>
        <vt:i4>2621481</vt:i4>
      </vt:variant>
      <vt:variant>
        <vt:i4>51</vt:i4>
      </vt:variant>
      <vt:variant>
        <vt:i4>0</vt:i4>
      </vt:variant>
      <vt:variant>
        <vt:i4>5</vt:i4>
      </vt:variant>
      <vt:variant>
        <vt:lpwstr>http://libguides.uta.edu/offcampus</vt:lpwstr>
      </vt:variant>
      <vt:variant>
        <vt:lpwstr/>
      </vt:variant>
      <vt:variant>
        <vt:i4>4915202</vt:i4>
      </vt:variant>
      <vt:variant>
        <vt:i4>48</vt:i4>
      </vt:variant>
      <vt:variant>
        <vt:i4>0</vt:i4>
      </vt:variant>
      <vt:variant>
        <vt:i4>5</vt:i4>
      </vt:variant>
      <vt:variant>
        <vt:lpwstr>http://www.uta.edu/library/help/tutorials.php</vt:lpwstr>
      </vt:variant>
      <vt:variant>
        <vt:lpwstr/>
      </vt:variant>
      <vt:variant>
        <vt:i4>5505028</vt:i4>
      </vt:variant>
      <vt:variant>
        <vt:i4>45</vt:i4>
      </vt:variant>
      <vt:variant>
        <vt:i4>0</vt:i4>
      </vt:variant>
      <vt:variant>
        <vt:i4>5</vt:i4>
      </vt:variant>
      <vt:variant>
        <vt:lpwstr>http://liblink.uta.edu/UTAlink/az</vt:lpwstr>
      </vt:variant>
      <vt:variant>
        <vt:lpwstr/>
      </vt:variant>
      <vt:variant>
        <vt:i4>589827</vt:i4>
      </vt:variant>
      <vt:variant>
        <vt:i4>42</vt:i4>
      </vt:variant>
      <vt:variant>
        <vt:i4>0</vt:i4>
      </vt:variant>
      <vt:variant>
        <vt:i4>5</vt:i4>
      </vt:variant>
      <vt:variant>
        <vt:lpwstr>http://discover.uta.edu/</vt:lpwstr>
      </vt:variant>
      <vt:variant>
        <vt:lpwstr/>
      </vt:variant>
      <vt:variant>
        <vt:i4>2031638</vt:i4>
      </vt:variant>
      <vt:variant>
        <vt:i4>39</vt:i4>
      </vt:variant>
      <vt:variant>
        <vt:i4>0</vt:i4>
      </vt:variant>
      <vt:variant>
        <vt:i4>5</vt:i4>
      </vt:variant>
      <vt:variant>
        <vt:lpwstr>http://pulse.uta.edu/vwebv/enterCourseReserve.do</vt:lpwstr>
      </vt:variant>
      <vt:variant>
        <vt:lpwstr/>
      </vt:variant>
      <vt:variant>
        <vt:i4>4063329</vt:i4>
      </vt:variant>
      <vt:variant>
        <vt:i4>36</vt:i4>
      </vt:variant>
      <vt:variant>
        <vt:i4>0</vt:i4>
      </vt:variant>
      <vt:variant>
        <vt:i4>5</vt:i4>
      </vt:variant>
      <vt:variant>
        <vt:lpwstr>http://www.uta.edu/library/databases/index.php</vt:lpwstr>
      </vt:variant>
      <vt:variant>
        <vt:lpwstr/>
      </vt:variant>
      <vt:variant>
        <vt:i4>3670076</vt:i4>
      </vt:variant>
      <vt:variant>
        <vt:i4>33</vt:i4>
      </vt:variant>
      <vt:variant>
        <vt:i4>0</vt:i4>
      </vt:variant>
      <vt:variant>
        <vt:i4>5</vt:i4>
      </vt:variant>
      <vt:variant>
        <vt:lpwstr>http://www.uta.edu/library/help/subject-librarians.php</vt:lpwstr>
      </vt:variant>
      <vt:variant>
        <vt:lpwstr/>
      </vt:variant>
      <vt:variant>
        <vt:i4>4390939</vt:i4>
      </vt:variant>
      <vt:variant>
        <vt:i4>30</vt:i4>
      </vt:variant>
      <vt:variant>
        <vt:i4>0</vt:i4>
      </vt:variant>
      <vt:variant>
        <vt:i4>5</vt:i4>
      </vt:variant>
      <vt:variant>
        <vt:lpwstr>http://libguides.uta.edu/</vt:lpwstr>
      </vt:variant>
      <vt:variant>
        <vt:lpwstr/>
      </vt:variant>
      <vt:variant>
        <vt:i4>3735592</vt:i4>
      </vt:variant>
      <vt:variant>
        <vt:i4>27</vt:i4>
      </vt:variant>
      <vt:variant>
        <vt:i4>0</vt:i4>
      </vt:variant>
      <vt:variant>
        <vt:i4>5</vt:i4>
      </vt:variant>
      <vt:variant>
        <vt:lpwstr>http://www.uta.edu/library</vt:lpwstr>
      </vt:variant>
      <vt:variant>
        <vt:lpwstr/>
      </vt:variant>
      <vt:variant>
        <vt:i4>7012419</vt:i4>
      </vt:variant>
      <vt:variant>
        <vt:i4>24</vt:i4>
      </vt:variant>
      <vt:variant>
        <vt:i4>0</vt:i4>
      </vt:variant>
      <vt:variant>
        <vt:i4>5</vt:i4>
      </vt:variant>
      <vt:variant>
        <vt:lpwstr>mailto:dillard@uta.edu</vt:lpwstr>
      </vt:variant>
      <vt:variant>
        <vt:lpwstr/>
      </vt:variant>
      <vt:variant>
        <vt:i4>3080231</vt:i4>
      </vt:variant>
      <vt:variant>
        <vt:i4>21</vt:i4>
      </vt:variant>
      <vt:variant>
        <vt:i4>0</vt:i4>
      </vt:variant>
      <vt:variant>
        <vt:i4>5</vt:i4>
      </vt:variant>
      <vt:variant>
        <vt:lpwstr>http://www.uta.edu/sfs</vt:lpwstr>
      </vt:variant>
      <vt:variant>
        <vt:lpwstr/>
      </vt:variant>
      <vt:variant>
        <vt:i4>7340154</vt:i4>
      </vt:variant>
      <vt:variant>
        <vt:i4>18</vt:i4>
      </vt:variant>
      <vt:variant>
        <vt:i4>0</vt:i4>
      </vt:variant>
      <vt:variant>
        <vt:i4>5</vt:i4>
      </vt:variant>
      <vt:variant>
        <vt:lpwstr>http://www.uta.edu/oit/cs/email/mavmail.php</vt:lpwstr>
      </vt:variant>
      <vt:variant>
        <vt:lpwstr/>
      </vt:variant>
      <vt:variant>
        <vt:i4>131127</vt:i4>
      </vt:variant>
      <vt:variant>
        <vt:i4>15</vt:i4>
      </vt:variant>
      <vt:variant>
        <vt:i4>0</vt:i4>
      </vt:variant>
      <vt:variant>
        <vt:i4>5</vt:i4>
      </vt:variant>
      <vt:variant>
        <vt:lpwstr>mailto:ChrisKilgore@uta.edu</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65598</vt:i4>
      </vt:variant>
      <vt:variant>
        <vt:i4>0</vt:i4>
      </vt:variant>
      <vt:variant>
        <vt:i4>0</vt:i4>
      </vt:variant>
      <vt:variant>
        <vt:i4>5</vt:i4>
      </vt:variant>
      <vt:variant>
        <vt:lpwstr>mailto:bower@uta.edu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alexaso</dc:creator>
  <cp:keywords/>
  <cp:lastModifiedBy>Bower, Bruce</cp:lastModifiedBy>
  <cp:revision>2</cp:revision>
  <cp:lastPrinted>2013-11-27T20:04:00Z</cp:lastPrinted>
  <dcterms:created xsi:type="dcterms:W3CDTF">2014-01-16T15:33:00Z</dcterms:created>
  <dcterms:modified xsi:type="dcterms:W3CDTF">2014-01-16T15:33:00Z</dcterms:modified>
</cp:coreProperties>
</file>