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2E6ABA" w:rsidRDefault="00E67534" w:rsidP="00E67534">
      <w:pPr>
        <w:rPr>
          <w:sz w:val="22"/>
          <w:szCs w:val="22"/>
        </w:rPr>
      </w:pPr>
      <w:bookmarkStart w:id="0" w:name="_GoBack"/>
      <w:bookmarkEnd w:id="0"/>
    </w:p>
    <w:p w:rsidR="00E67534" w:rsidRPr="00D516D1" w:rsidRDefault="00E67534" w:rsidP="00E67534">
      <w:pPr>
        <w:pStyle w:val="Heading2"/>
        <w:jc w:val="center"/>
        <w:rPr>
          <w:rFonts w:ascii="Times New Roman" w:hAnsi="Times New Roman"/>
          <w:b/>
          <w:bCs/>
          <w:sz w:val="24"/>
          <w:szCs w:val="24"/>
        </w:rPr>
      </w:pPr>
      <w:r w:rsidRPr="00D516D1">
        <w:rPr>
          <w:rFonts w:ascii="Times New Roman" w:hAnsi="Times New Roman"/>
          <w:b/>
          <w:bCs/>
          <w:sz w:val="24"/>
          <w:szCs w:val="24"/>
        </w:rPr>
        <w:t xml:space="preserve">English 1301: </w:t>
      </w:r>
      <w:r w:rsidR="004F7961" w:rsidRPr="00D516D1">
        <w:rPr>
          <w:rFonts w:ascii="Times New Roman" w:hAnsi="Times New Roman"/>
          <w:b/>
          <w:bCs/>
          <w:sz w:val="24"/>
          <w:szCs w:val="24"/>
        </w:rPr>
        <w:t>Rhetoric and Composition I</w:t>
      </w:r>
    </w:p>
    <w:p w:rsidR="00E67534" w:rsidRPr="00D516D1" w:rsidRDefault="00E67534" w:rsidP="00FC15A8">
      <w:pPr>
        <w:pStyle w:val="PlainText"/>
        <w:jc w:val="center"/>
        <w:rPr>
          <w:rFonts w:ascii="Times New Roman" w:hAnsi="Times New Roman"/>
          <w:bCs/>
          <w:sz w:val="24"/>
          <w:szCs w:val="24"/>
        </w:rPr>
      </w:pPr>
      <w:r w:rsidRPr="00D516D1">
        <w:rPr>
          <w:rFonts w:ascii="Times New Roman" w:hAnsi="Times New Roman"/>
          <w:b/>
          <w:sz w:val="24"/>
          <w:szCs w:val="24"/>
        </w:rPr>
        <w:t xml:space="preserve">Instructor: </w:t>
      </w:r>
      <w:r w:rsidR="00420DE8" w:rsidRPr="00D516D1">
        <w:rPr>
          <w:rFonts w:ascii="Times New Roman" w:hAnsi="Times New Roman"/>
          <w:b/>
          <w:bCs/>
          <w:sz w:val="24"/>
          <w:szCs w:val="24"/>
        </w:rPr>
        <w:t>Dianne Pearman</w:t>
      </w:r>
      <w:r w:rsidR="00D516D1">
        <w:rPr>
          <w:rFonts w:ascii="Times New Roman" w:hAnsi="Times New Roman"/>
          <w:b/>
          <w:bCs/>
          <w:sz w:val="24"/>
          <w:szCs w:val="24"/>
        </w:rPr>
        <w:t>, Ph.D.</w:t>
      </w:r>
    </w:p>
    <w:p w:rsidR="00E67534" w:rsidRPr="002E6ABA" w:rsidRDefault="00E67534" w:rsidP="00FC15A8">
      <w:pPr>
        <w:pStyle w:val="PlainText"/>
        <w:jc w:val="center"/>
        <w:rPr>
          <w:rFonts w:ascii="Times New Roman" w:hAnsi="Times New Roman"/>
          <w:sz w:val="22"/>
          <w:szCs w:val="22"/>
        </w:rPr>
      </w:pPr>
      <w:r w:rsidRPr="002E6ABA">
        <w:rPr>
          <w:rFonts w:ascii="Times New Roman" w:hAnsi="Times New Roman"/>
          <w:sz w:val="22"/>
          <w:szCs w:val="22"/>
        </w:rPr>
        <w:t xml:space="preserve">Course </w:t>
      </w:r>
      <w:r w:rsidR="00420DE8" w:rsidRPr="002E6ABA">
        <w:rPr>
          <w:rFonts w:ascii="Times New Roman" w:hAnsi="Times New Roman"/>
          <w:sz w:val="22"/>
          <w:szCs w:val="22"/>
        </w:rPr>
        <w:t xml:space="preserve">Information: </w:t>
      </w:r>
      <w:r w:rsidR="007629BA">
        <w:rPr>
          <w:rFonts w:ascii="Times New Roman" w:hAnsi="Times New Roman"/>
          <w:sz w:val="22"/>
          <w:szCs w:val="22"/>
        </w:rPr>
        <w:t>ENGL 1301.015 Tuesday 2:00-3:20 Preston Hall 3</w:t>
      </w:r>
      <w:r w:rsidR="00A83FE0" w:rsidRPr="002E6ABA">
        <w:rPr>
          <w:rFonts w:ascii="Times New Roman" w:hAnsi="Times New Roman"/>
          <w:sz w:val="22"/>
          <w:szCs w:val="22"/>
        </w:rPr>
        <w:t>00</w:t>
      </w:r>
    </w:p>
    <w:p w:rsidR="00E67534" w:rsidRPr="002E6ABA" w:rsidRDefault="00E67534" w:rsidP="00FC15A8">
      <w:pPr>
        <w:pStyle w:val="PlainText"/>
        <w:jc w:val="center"/>
        <w:rPr>
          <w:rFonts w:ascii="Times New Roman" w:hAnsi="Times New Roman"/>
          <w:sz w:val="22"/>
          <w:szCs w:val="22"/>
        </w:rPr>
      </w:pPr>
      <w:r w:rsidRPr="002E6ABA">
        <w:rPr>
          <w:rFonts w:ascii="Times New Roman" w:hAnsi="Times New Roman"/>
          <w:sz w:val="22"/>
          <w:szCs w:val="22"/>
        </w:rPr>
        <w:t>Office/Hours:</w:t>
      </w:r>
      <w:r w:rsidR="007629BA">
        <w:rPr>
          <w:rFonts w:ascii="Times New Roman" w:hAnsi="Times New Roman"/>
          <w:sz w:val="22"/>
          <w:szCs w:val="22"/>
        </w:rPr>
        <w:t xml:space="preserve"> Wednesday</w:t>
      </w:r>
      <w:r w:rsidR="00A83FE0" w:rsidRPr="002E6ABA">
        <w:rPr>
          <w:rFonts w:ascii="Times New Roman" w:hAnsi="Times New Roman"/>
          <w:sz w:val="22"/>
          <w:szCs w:val="22"/>
        </w:rPr>
        <w:t xml:space="preserve"> 1-4</w:t>
      </w:r>
      <w:r w:rsidR="00420DE8" w:rsidRPr="002E6ABA">
        <w:rPr>
          <w:rFonts w:ascii="Times New Roman" w:hAnsi="Times New Roman"/>
          <w:sz w:val="22"/>
          <w:szCs w:val="22"/>
        </w:rPr>
        <w:t xml:space="preserve"> p.m.</w:t>
      </w:r>
      <w:r w:rsidR="002E6ABA" w:rsidRPr="002E6ABA">
        <w:rPr>
          <w:rFonts w:ascii="Times New Roman" w:hAnsi="Times New Roman"/>
          <w:sz w:val="22"/>
          <w:szCs w:val="22"/>
        </w:rPr>
        <w:t xml:space="preserve"> Carlisle Hall Rm. 425</w:t>
      </w:r>
    </w:p>
    <w:p w:rsidR="00E67534" w:rsidRPr="002E6ABA" w:rsidRDefault="00E67534" w:rsidP="00FC15A8">
      <w:pPr>
        <w:jc w:val="center"/>
        <w:rPr>
          <w:bCs/>
          <w:sz w:val="22"/>
          <w:szCs w:val="22"/>
        </w:rPr>
      </w:pPr>
      <w:r w:rsidRPr="002E6ABA">
        <w:rPr>
          <w:bCs/>
          <w:sz w:val="22"/>
          <w:szCs w:val="22"/>
        </w:rPr>
        <w:t xml:space="preserve">Email: </w:t>
      </w:r>
      <w:r w:rsidR="00420DE8" w:rsidRPr="002E6ABA">
        <w:rPr>
          <w:bCs/>
          <w:sz w:val="22"/>
          <w:szCs w:val="22"/>
        </w:rPr>
        <w:t>dpearman@uta.edu</w:t>
      </w:r>
    </w:p>
    <w:p w:rsidR="001B1131" w:rsidRPr="002E6ABA" w:rsidRDefault="001B1131" w:rsidP="00E67534">
      <w:pPr>
        <w:rPr>
          <w:bCs/>
          <w:sz w:val="22"/>
          <w:szCs w:val="22"/>
        </w:rPr>
      </w:pPr>
    </w:p>
    <w:p w:rsidR="002E6ABA" w:rsidRPr="002E6ABA" w:rsidRDefault="007629BA" w:rsidP="004F7961">
      <w:pPr>
        <w:pStyle w:val="ListParagraph"/>
        <w:numPr>
          <w:ilvl w:val="0"/>
          <w:numId w:val="32"/>
        </w:numPr>
        <w:rPr>
          <w:b/>
          <w:sz w:val="22"/>
          <w:szCs w:val="22"/>
        </w:rPr>
      </w:pPr>
      <w:r>
        <w:rPr>
          <w:b/>
          <w:bCs/>
          <w:i/>
          <w:sz w:val="22"/>
          <w:szCs w:val="22"/>
        </w:rPr>
        <w:t>Please note: ENGL 1301.015</w:t>
      </w:r>
      <w:r w:rsidR="001B1131" w:rsidRPr="002E6ABA">
        <w:rPr>
          <w:b/>
          <w:bCs/>
          <w:i/>
          <w:sz w:val="22"/>
          <w:szCs w:val="22"/>
        </w:rPr>
        <w:t xml:space="preserve"> is a hybrid course. A hybrid course combines traditional classroom learning with on</w:t>
      </w:r>
      <w:r w:rsidR="00E53105" w:rsidRPr="002E6ABA">
        <w:rPr>
          <w:b/>
          <w:bCs/>
          <w:i/>
          <w:sz w:val="22"/>
          <w:szCs w:val="22"/>
        </w:rPr>
        <w:t>-line learning in an effort to offer</w:t>
      </w:r>
      <w:r w:rsidR="001B1131" w:rsidRPr="002E6ABA">
        <w:rPr>
          <w:b/>
          <w:bCs/>
          <w:i/>
          <w:sz w:val="22"/>
          <w:szCs w:val="22"/>
        </w:rPr>
        <w:t xml:space="preserve"> students the </w:t>
      </w:r>
      <w:r w:rsidR="002E6ABA">
        <w:rPr>
          <w:b/>
          <w:bCs/>
          <w:i/>
          <w:sz w:val="22"/>
          <w:szCs w:val="22"/>
        </w:rPr>
        <w:t>“</w:t>
      </w:r>
      <w:r w:rsidR="001B1131" w:rsidRPr="002E6ABA">
        <w:rPr>
          <w:b/>
          <w:bCs/>
          <w:i/>
          <w:sz w:val="22"/>
          <w:szCs w:val="22"/>
        </w:rPr>
        <w:t>best of bot</w:t>
      </w:r>
      <w:r w:rsidR="002E6ABA">
        <w:rPr>
          <w:b/>
          <w:bCs/>
          <w:i/>
          <w:sz w:val="22"/>
          <w:szCs w:val="22"/>
        </w:rPr>
        <w:t>h worlds.”</w:t>
      </w:r>
      <w:r w:rsidR="001B1131" w:rsidRPr="002E6ABA">
        <w:rPr>
          <w:b/>
          <w:bCs/>
          <w:i/>
          <w:sz w:val="22"/>
          <w:szCs w:val="22"/>
        </w:rPr>
        <w:t xml:space="preserve"> </w:t>
      </w:r>
      <w:r w:rsidR="00E53105" w:rsidRPr="002E6ABA">
        <w:rPr>
          <w:b/>
          <w:bCs/>
          <w:i/>
          <w:sz w:val="22"/>
          <w:szCs w:val="22"/>
        </w:rPr>
        <w:t xml:space="preserve">The success of the course, as well as the success of each student, depends on 100% participation by each class member. </w:t>
      </w:r>
      <w:r w:rsidR="001B1131" w:rsidRPr="002E6ABA">
        <w:rPr>
          <w:b/>
          <w:bCs/>
          <w:i/>
          <w:sz w:val="22"/>
          <w:szCs w:val="22"/>
        </w:rPr>
        <w:t xml:space="preserve">This </w:t>
      </w:r>
      <w:r w:rsidR="00C371B6" w:rsidRPr="002E6ABA">
        <w:rPr>
          <w:b/>
          <w:bCs/>
          <w:i/>
          <w:sz w:val="22"/>
          <w:szCs w:val="22"/>
        </w:rPr>
        <w:t xml:space="preserve">means arriving on time to </w:t>
      </w:r>
      <w:r w:rsidR="002E6ABA" w:rsidRPr="002E6ABA">
        <w:rPr>
          <w:b/>
          <w:bCs/>
          <w:i/>
          <w:sz w:val="22"/>
          <w:szCs w:val="22"/>
        </w:rPr>
        <w:t>each class meeting and being prepared for class activities</w:t>
      </w:r>
      <w:r w:rsidR="00E248B2" w:rsidRPr="002E6ABA">
        <w:rPr>
          <w:b/>
          <w:bCs/>
          <w:i/>
          <w:sz w:val="22"/>
          <w:szCs w:val="22"/>
        </w:rPr>
        <w:t>.</w:t>
      </w:r>
      <w:r w:rsidR="001B1131" w:rsidRPr="002E6ABA">
        <w:rPr>
          <w:b/>
          <w:bCs/>
          <w:i/>
          <w:sz w:val="22"/>
          <w:szCs w:val="22"/>
        </w:rPr>
        <w:t xml:space="preserve"> </w:t>
      </w:r>
      <w:r w:rsidR="002E6ABA" w:rsidRPr="002E6ABA">
        <w:rPr>
          <w:b/>
          <w:i/>
          <w:sz w:val="22"/>
          <w:szCs w:val="22"/>
        </w:rPr>
        <w:t>Because this course only meets once a week, no unexcused absences will be allowed. If you do not at</w:t>
      </w:r>
      <w:r>
        <w:rPr>
          <w:b/>
          <w:i/>
          <w:sz w:val="22"/>
          <w:szCs w:val="22"/>
        </w:rPr>
        <w:t>tend the class meeting on Tuesday</w:t>
      </w:r>
      <w:r w:rsidR="002E6ABA" w:rsidRPr="002E6ABA">
        <w:rPr>
          <w:b/>
          <w:i/>
          <w:sz w:val="22"/>
          <w:szCs w:val="22"/>
        </w:rPr>
        <w:t xml:space="preserve"> of a given week, you will not receive credit for the week’s assignments.  Absences will be excused for school-sponsored events and in cases of serious illness. These absences must be accompanied by documentation. Likewise, habitual tardiness will not be tolerated. If you are late for class on more than three occasions, you will receive a 3 point deduction from your final grade for each instance of tardiness.  </w:t>
      </w:r>
    </w:p>
    <w:p w:rsidR="002E6ABA" w:rsidRPr="002E6ABA" w:rsidRDefault="002E6ABA" w:rsidP="002E6ABA">
      <w:pPr>
        <w:pStyle w:val="ListParagraph"/>
        <w:rPr>
          <w:b/>
          <w:sz w:val="22"/>
          <w:szCs w:val="22"/>
        </w:rPr>
      </w:pPr>
    </w:p>
    <w:p w:rsidR="004F7961" w:rsidRPr="002E6ABA" w:rsidRDefault="004F7961" w:rsidP="002E6ABA">
      <w:pPr>
        <w:rPr>
          <w:b/>
          <w:sz w:val="22"/>
          <w:szCs w:val="22"/>
        </w:rPr>
      </w:pPr>
      <w:r w:rsidRPr="00D516D1">
        <w:rPr>
          <w:b/>
          <w:bCs/>
        </w:rPr>
        <w:t>ENGL 1301 RHETORIC AND COMPOSITION I</w:t>
      </w:r>
      <w:r w:rsidRPr="002E6ABA">
        <w:rPr>
          <w:b/>
          <w:bCs/>
          <w:sz w:val="22"/>
          <w:szCs w:val="22"/>
        </w:rPr>
        <w:t>:</w:t>
      </w:r>
      <w:r w:rsidRPr="002E6ABA">
        <w:rPr>
          <w:sz w:val="22"/>
          <w:szCs w:val="22"/>
        </w:rPr>
        <w:t xml:space="preserve"> Introduction to college reading a</w:t>
      </w:r>
      <w:r w:rsidR="00D516D1">
        <w:rPr>
          <w:sz w:val="22"/>
          <w:szCs w:val="22"/>
        </w:rPr>
        <w:t>nd writing. This course e</w:t>
      </w:r>
      <w:r w:rsidRPr="002E6ABA">
        <w:rPr>
          <w:sz w:val="22"/>
          <w:szCs w:val="22"/>
        </w:rPr>
        <w:t>mphasizes recursive writing processes, rhetorical</w:t>
      </w:r>
      <w:r w:rsidR="00D516D1">
        <w:rPr>
          <w:sz w:val="22"/>
          <w:szCs w:val="22"/>
        </w:rPr>
        <w:t xml:space="preserve"> analysis, synthesis of sources</w:t>
      </w:r>
      <w:r w:rsidRPr="002E6ABA">
        <w:rPr>
          <w:sz w:val="22"/>
          <w:szCs w:val="22"/>
        </w:rPr>
        <w:t xml:space="preserve"> and argument. </w:t>
      </w:r>
    </w:p>
    <w:p w:rsidR="00E67534" w:rsidRPr="002E6ABA" w:rsidRDefault="00E67534" w:rsidP="00E67534">
      <w:pPr>
        <w:rPr>
          <w:rFonts w:eastAsia="Calibri"/>
          <w:sz w:val="22"/>
          <w:szCs w:val="22"/>
        </w:rPr>
      </w:pPr>
    </w:p>
    <w:p w:rsidR="00E67534" w:rsidRPr="002E6ABA" w:rsidRDefault="00E67534" w:rsidP="00E67534">
      <w:pPr>
        <w:pStyle w:val="BodyText"/>
        <w:jc w:val="left"/>
        <w:rPr>
          <w:rFonts w:ascii="Times New Roman" w:hAnsi="Times New Roman"/>
          <w:b/>
          <w:noProof w:val="0"/>
          <w:sz w:val="22"/>
          <w:szCs w:val="22"/>
        </w:rPr>
      </w:pPr>
      <w:r w:rsidRPr="00D516D1">
        <w:rPr>
          <w:rFonts w:ascii="Times New Roman" w:hAnsi="Times New Roman"/>
          <w:b/>
          <w:noProof w:val="0"/>
          <w:sz w:val="24"/>
          <w:szCs w:val="24"/>
        </w:rPr>
        <w:t>ENGL 1301 Expected Learning Outcomes</w:t>
      </w:r>
      <w:r w:rsidRPr="002E6ABA">
        <w:rPr>
          <w:rFonts w:ascii="Times New Roman" w:hAnsi="Times New Roman"/>
          <w:b/>
          <w:noProof w:val="0"/>
          <w:sz w:val="22"/>
          <w:szCs w:val="22"/>
        </w:rPr>
        <w:t xml:space="preserve">. </w:t>
      </w:r>
      <w:r w:rsidRPr="002E6ABA">
        <w:rPr>
          <w:rFonts w:ascii="Times New Roman" w:eastAsia="Calibri" w:hAnsi="Times New Roman"/>
          <w:sz w:val="22"/>
          <w:szCs w:val="22"/>
        </w:rPr>
        <w:t>By the end of ENGL 1301, students should be able to:</w:t>
      </w:r>
    </w:p>
    <w:p w:rsidR="00E67534" w:rsidRPr="002E6ABA" w:rsidRDefault="00E67534" w:rsidP="00E67534">
      <w:pPr>
        <w:rPr>
          <w:rFonts w:eastAsia="Calibri"/>
          <w:i/>
          <w:sz w:val="22"/>
          <w:szCs w:val="22"/>
        </w:rPr>
      </w:pPr>
      <w:r w:rsidRPr="002E6ABA">
        <w:rPr>
          <w:rFonts w:eastAsia="Calibri"/>
          <w:i/>
          <w:sz w:val="22"/>
          <w:szCs w:val="22"/>
        </w:rPr>
        <w:t>Rhetorical Knowledge</w:t>
      </w:r>
    </w:p>
    <w:p w:rsidR="00E67534" w:rsidRPr="002E6ABA" w:rsidRDefault="00E67534" w:rsidP="00E67534">
      <w:pPr>
        <w:numPr>
          <w:ilvl w:val="0"/>
          <w:numId w:val="4"/>
        </w:numPr>
        <w:rPr>
          <w:rFonts w:eastAsia="Calibri"/>
          <w:sz w:val="22"/>
          <w:szCs w:val="22"/>
        </w:rPr>
      </w:pPr>
      <w:r w:rsidRPr="002E6ABA">
        <w:rPr>
          <w:rFonts w:eastAsia="Calibri"/>
          <w:sz w:val="22"/>
          <w:szCs w:val="22"/>
        </w:rPr>
        <w:t>Use knowledge of the rhetorical situation—author, audience, exigence, constraints—to analyze and construct texts</w:t>
      </w:r>
    </w:p>
    <w:p w:rsidR="00E67534" w:rsidRPr="002E6ABA" w:rsidRDefault="00E67534" w:rsidP="00E67534">
      <w:pPr>
        <w:numPr>
          <w:ilvl w:val="0"/>
          <w:numId w:val="4"/>
        </w:numPr>
        <w:rPr>
          <w:rFonts w:eastAsia="Calibri"/>
          <w:sz w:val="22"/>
          <w:szCs w:val="22"/>
        </w:rPr>
      </w:pPr>
      <w:r w:rsidRPr="002E6ABA">
        <w:rPr>
          <w:rFonts w:eastAsia="Calibri"/>
          <w:sz w:val="22"/>
          <w:szCs w:val="22"/>
        </w:rPr>
        <w:t>Compose texts in a variety of genres, expanding their repertoire beyond predictable forms</w:t>
      </w:r>
    </w:p>
    <w:p w:rsidR="00E67534" w:rsidRPr="002E6ABA" w:rsidRDefault="00E67534" w:rsidP="00E67534">
      <w:pPr>
        <w:numPr>
          <w:ilvl w:val="0"/>
          <w:numId w:val="4"/>
        </w:numPr>
        <w:rPr>
          <w:rFonts w:eastAsia="Calibri"/>
          <w:sz w:val="22"/>
          <w:szCs w:val="22"/>
        </w:rPr>
      </w:pPr>
      <w:r w:rsidRPr="002E6ABA">
        <w:rPr>
          <w:rFonts w:eastAsia="Calibri"/>
          <w:sz w:val="22"/>
          <w:szCs w:val="22"/>
        </w:rPr>
        <w:t xml:space="preserve">Adjust voice, tone, diction, syntax, level of formality, and structure to meet the demands of different rhetorical situations </w:t>
      </w:r>
    </w:p>
    <w:p w:rsidR="00E67534" w:rsidRPr="002E6ABA" w:rsidRDefault="00E67534" w:rsidP="00E67534">
      <w:pPr>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Critical Reading, Thinking, and Writing</w:t>
      </w:r>
    </w:p>
    <w:p w:rsidR="00E67534" w:rsidRPr="002E6ABA" w:rsidRDefault="00E67534" w:rsidP="00E67534">
      <w:pPr>
        <w:numPr>
          <w:ilvl w:val="0"/>
          <w:numId w:val="3"/>
        </w:numPr>
        <w:rPr>
          <w:rFonts w:eastAsia="Calibri"/>
          <w:sz w:val="22"/>
          <w:szCs w:val="22"/>
        </w:rPr>
      </w:pPr>
      <w:r w:rsidRPr="002E6ABA">
        <w:rPr>
          <w:rFonts w:eastAsia="Calibri"/>
          <w:sz w:val="22"/>
          <w:szCs w:val="22"/>
        </w:rPr>
        <w:t>Use writing, reading, and discussion for inquiry, learning, communicating, and examining assumptions</w:t>
      </w:r>
    </w:p>
    <w:p w:rsidR="00E67534" w:rsidRPr="002E6ABA" w:rsidRDefault="00E67534" w:rsidP="00E67534">
      <w:pPr>
        <w:numPr>
          <w:ilvl w:val="0"/>
          <w:numId w:val="3"/>
        </w:numPr>
        <w:rPr>
          <w:rFonts w:eastAsia="Calibri"/>
          <w:sz w:val="22"/>
          <w:szCs w:val="22"/>
        </w:rPr>
      </w:pPr>
      <w:r w:rsidRPr="002E6ABA">
        <w:rPr>
          <w:rFonts w:eastAsia="Calibri"/>
          <w:sz w:val="22"/>
          <w:szCs w:val="22"/>
        </w:rPr>
        <w:t>Employ critical reading strategies to identify an author’s position, main ideas, genre conventions, and rhetorical strategies</w:t>
      </w:r>
    </w:p>
    <w:p w:rsidR="00E67534" w:rsidRPr="002E6ABA" w:rsidRDefault="00E67534" w:rsidP="00E67534">
      <w:pPr>
        <w:numPr>
          <w:ilvl w:val="0"/>
          <w:numId w:val="3"/>
        </w:numPr>
        <w:rPr>
          <w:rFonts w:eastAsia="Calibri"/>
          <w:sz w:val="22"/>
          <w:szCs w:val="22"/>
        </w:rPr>
      </w:pPr>
      <w:r w:rsidRPr="002E6ABA">
        <w:rPr>
          <w:rFonts w:eastAsia="Calibri"/>
          <w:sz w:val="22"/>
          <w:szCs w:val="22"/>
        </w:rPr>
        <w:t>Summarize, analyze, and respond to texts</w:t>
      </w:r>
    </w:p>
    <w:p w:rsidR="00E67534" w:rsidRPr="002E6ABA" w:rsidRDefault="00E67534" w:rsidP="00E67534">
      <w:pPr>
        <w:numPr>
          <w:ilvl w:val="0"/>
          <w:numId w:val="3"/>
        </w:numPr>
        <w:rPr>
          <w:rFonts w:eastAsia="Calibri"/>
          <w:sz w:val="22"/>
          <w:szCs w:val="22"/>
        </w:rPr>
      </w:pPr>
      <w:r w:rsidRPr="002E6ABA">
        <w:rPr>
          <w:rFonts w:eastAsia="Calibri"/>
          <w:sz w:val="22"/>
          <w:szCs w:val="22"/>
        </w:rPr>
        <w:t>Find, evaluate, and synthesize appropriate sources to inform, support, and situate their own claims</w:t>
      </w:r>
    </w:p>
    <w:p w:rsidR="00E67534" w:rsidRPr="002E6ABA" w:rsidRDefault="00E67534" w:rsidP="00E67534">
      <w:pPr>
        <w:numPr>
          <w:ilvl w:val="0"/>
          <w:numId w:val="3"/>
        </w:numPr>
        <w:rPr>
          <w:rFonts w:eastAsia="Calibri"/>
          <w:sz w:val="22"/>
          <w:szCs w:val="22"/>
        </w:rPr>
      </w:pPr>
      <w:r w:rsidRPr="002E6ABA">
        <w:rPr>
          <w:rFonts w:eastAsia="Calibri"/>
          <w:sz w:val="22"/>
          <w:szCs w:val="22"/>
        </w:rPr>
        <w:t>Produce texts with a focus, thesis, and controlling idea, and identify these elements in others’ texts</w:t>
      </w:r>
    </w:p>
    <w:p w:rsidR="00E67534" w:rsidRPr="002E6ABA" w:rsidRDefault="00E67534" w:rsidP="00E67534">
      <w:pPr>
        <w:ind w:left="360"/>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Processes</w:t>
      </w:r>
    </w:p>
    <w:p w:rsidR="00E67534" w:rsidRPr="002E6ABA" w:rsidRDefault="00E67534" w:rsidP="00E67534">
      <w:pPr>
        <w:numPr>
          <w:ilvl w:val="0"/>
          <w:numId w:val="2"/>
        </w:numPr>
        <w:rPr>
          <w:rFonts w:eastAsia="Calibri"/>
          <w:sz w:val="22"/>
          <w:szCs w:val="22"/>
        </w:rPr>
      </w:pPr>
      <w:r w:rsidRPr="002E6ABA">
        <w:rPr>
          <w:rFonts w:eastAsia="Calibri"/>
          <w:sz w:val="22"/>
          <w:szCs w:val="22"/>
        </w:rPr>
        <w:t>Practice flexible strategies for generating, revising, and editing texts</w:t>
      </w:r>
    </w:p>
    <w:p w:rsidR="00E67534" w:rsidRPr="002E6ABA" w:rsidRDefault="00E67534" w:rsidP="00E67534">
      <w:pPr>
        <w:numPr>
          <w:ilvl w:val="0"/>
          <w:numId w:val="2"/>
        </w:numPr>
        <w:rPr>
          <w:rFonts w:eastAsia="Calibri"/>
          <w:sz w:val="22"/>
          <w:szCs w:val="22"/>
        </w:rPr>
      </w:pPr>
      <w:r w:rsidRPr="002E6ABA">
        <w:rPr>
          <w:sz w:val="22"/>
          <w:szCs w:val="22"/>
        </w:rPr>
        <w:t>Practice</w:t>
      </w:r>
      <w:r w:rsidRPr="002E6ABA">
        <w:rPr>
          <w:rFonts w:eastAsia="Calibri"/>
          <w:sz w:val="22"/>
          <w:szCs w:val="22"/>
        </w:rPr>
        <w:t xml:space="preserve"> writing as a recursive process that can lead to substantive changes in ideas, structure, and supporting evidence through multiple revisions</w:t>
      </w:r>
    </w:p>
    <w:p w:rsidR="00E67534" w:rsidRPr="002E6ABA" w:rsidRDefault="00E67534" w:rsidP="00E67534">
      <w:pPr>
        <w:numPr>
          <w:ilvl w:val="0"/>
          <w:numId w:val="2"/>
        </w:numPr>
        <w:rPr>
          <w:rFonts w:eastAsia="Calibri"/>
          <w:sz w:val="22"/>
          <w:szCs w:val="22"/>
        </w:rPr>
      </w:pPr>
      <w:r w:rsidRPr="002E6ABA">
        <w:rPr>
          <w:rFonts w:eastAsia="Calibri"/>
          <w:sz w:val="22"/>
          <w:szCs w:val="22"/>
        </w:rPr>
        <w:t>Use the collaborative and social aspects of writing to critique their own and others’ texts</w:t>
      </w:r>
    </w:p>
    <w:p w:rsidR="00E67534" w:rsidRPr="002E6ABA" w:rsidRDefault="00E67534" w:rsidP="00E67534">
      <w:pPr>
        <w:ind w:left="360"/>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Conventions</w:t>
      </w:r>
    </w:p>
    <w:p w:rsidR="00E67534" w:rsidRPr="002E6ABA" w:rsidRDefault="00E67534" w:rsidP="00E67534">
      <w:pPr>
        <w:numPr>
          <w:ilvl w:val="0"/>
          <w:numId w:val="1"/>
        </w:numPr>
        <w:rPr>
          <w:rFonts w:eastAsia="Calibri"/>
          <w:sz w:val="22"/>
          <w:szCs w:val="22"/>
        </w:rPr>
      </w:pPr>
      <w:r w:rsidRPr="002E6ABA">
        <w:rPr>
          <w:rFonts w:eastAsia="Calibri"/>
          <w:sz w:val="22"/>
          <w:szCs w:val="22"/>
        </w:rPr>
        <w:lastRenderedPageBreak/>
        <w:t>Apply knowledge of genre conventions ranging from structure and paragraphing to tone and mechanics</w:t>
      </w:r>
    </w:p>
    <w:p w:rsidR="00E67534" w:rsidRPr="002E6ABA" w:rsidRDefault="00E67534" w:rsidP="00E67534">
      <w:pPr>
        <w:numPr>
          <w:ilvl w:val="0"/>
          <w:numId w:val="1"/>
        </w:numPr>
        <w:rPr>
          <w:rFonts w:eastAsia="Calibri"/>
          <w:sz w:val="22"/>
          <w:szCs w:val="22"/>
        </w:rPr>
      </w:pPr>
      <w:r w:rsidRPr="002E6ABA">
        <w:rPr>
          <w:rFonts w:eastAsia="Calibri"/>
          <w:sz w:val="22"/>
          <w:szCs w:val="22"/>
        </w:rPr>
        <w:t>Summarize, paraphrase, and quote from sources using appropriate documentation style</w:t>
      </w:r>
    </w:p>
    <w:p w:rsidR="00E67534" w:rsidRPr="002E6ABA" w:rsidRDefault="00E67534" w:rsidP="00E67534">
      <w:pPr>
        <w:numPr>
          <w:ilvl w:val="0"/>
          <w:numId w:val="1"/>
        </w:numPr>
        <w:rPr>
          <w:rFonts w:eastAsia="Calibri"/>
          <w:sz w:val="22"/>
          <w:szCs w:val="22"/>
        </w:rPr>
      </w:pPr>
      <w:r w:rsidRPr="002E6ABA">
        <w:rPr>
          <w:rFonts w:eastAsia="Calibri"/>
          <w:sz w:val="22"/>
          <w:szCs w:val="22"/>
        </w:rPr>
        <w:t>Control such surface features as syntax, grammar, punctuation, and spelling</w:t>
      </w:r>
    </w:p>
    <w:p w:rsidR="00E67534" w:rsidRPr="002E6ABA" w:rsidRDefault="00E67534" w:rsidP="00E67534">
      <w:pPr>
        <w:numPr>
          <w:ilvl w:val="0"/>
          <w:numId w:val="1"/>
        </w:numPr>
        <w:rPr>
          <w:rFonts w:eastAsia="Calibri"/>
          <w:sz w:val="22"/>
          <w:szCs w:val="22"/>
        </w:rPr>
      </w:pPr>
      <w:r w:rsidRPr="002E6ABA">
        <w:rPr>
          <w:rFonts w:eastAsia="Calibri"/>
          <w:sz w:val="22"/>
          <w:szCs w:val="22"/>
        </w:rPr>
        <w:t>Employ technologies to format texts according to appropriate stylistic conventions</w:t>
      </w:r>
    </w:p>
    <w:p w:rsidR="00E67534" w:rsidRPr="002E6ABA" w:rsidRDefault="00E67534" w:rsidP="00E67534">
      <w:pPr>
        <w:rPr>
          <w:b/>
          <w:sz w:val="22"/>
          <w:szCs w:val="22"/>
        </w:rPr>
      </w:pPr>
    </w:p>
    <w:p w:rsidR="00E67534" w:rsidRPr="00D516D1" w:rsidRDefault="00D516D1" w:rsidP="00E67534">
      <w:pPr>
        <w:rPr>
          <w:b/>
        </w:rPr>
      </w:pPr>
      <w:r>
        <w:rPr>
          <w:b/>
        </w:rPr>
        <w:t>Required Texts</w:t>
      </w:r>
    </w:p>
    <w:p w:rsidR="00E67534" w:rsidRPr="002E6ABA" w:rsidRDefault="00E67534" w:rsidP="00E67534">
      <w:pPr>
        <w:pStyle w:val="Heading6"/>
        <w:jc w:val="left"/>
        <w:rPr>
          <w:bCs/>
          <w:sz w:val="22"/>
          <w:szCs w:val="22"/>
        </w:rPr>
      </w:pPr>
      <w:r w:rsidRPr="002E6ABA">
        <w:rPr>
          <w:bCs/>
          <w:sz w:val="22"/>
          <w:szCs w:val="22"/>
        </w:rPr>
        <w:t xml:space="preserve">Graff and Birkenstein, </w:t>
      </w:r>
      <w:r w:rsidRPr="002E6ABA">
        <w:rPr>
          <w:bCs/>
          <w:i/>
          <w:sz w:val="22"/>
          <w:szCs w:val="22"/>
        </w:rPr>
        <w:t>They Say/I Say</w:t>
      </w:r>
      <w:r w:rsidRPr="002E6ABA">
        <w:rPr>
          <w:bCs/>
          <w:sz w:val="22"/>
          <w:szCs w:val="22"/>
        </w:rPr>
        <w:t xml:space="preserve"> 2</w:t>
      </w:r>
      <w:r w:rsidRPr="002E6ABA">
        <w:rPr>
          <w:bCs/>
          <w:sz w:val="22"/>
          <w:szCs w:val="22"/>
          <w:vertAlign w:val="superscript"/>
        </w:rPr>
        <w:t>nd</w:t>
      </w:r>
      <w:r w:rsidRPr="002E6ABA">
        <w:rPr>
          <w:bCs/>
          <w:sz w:val="22"/>
          <w:szCs w:val="22"/>
        </w:rPr>
        <w:t xml:space="preserve"> edition</w:t>
      </w:r>
    </w:p>
    <w:p w:rsidR="00F44CF7" w:rsidRPr="002E6ABA" w:rsidRDefault="00E67534" w:rsidP="00E67534">
      <w:pPr>
        <w:rPr>
          <w:sz w:val="22"/>
          <w:szCs w:val="22"/>
        </w:rPr>
      </w:pPr>
      <w:r w:rsidRPr="002E6ABA">
        <w:rPr>
          <w:i/>
          <w:sz w:val="22"/>
          <w:szCs w:val="22"/>
        </w:rPr>
        <w:t xml:space="preserve">First-Year Writing: Perspectives </w:t>
      </w:r>
      <w:r w:rsidRPr="002E6ABA">
        <w:rPr>
          <w:sz w:val="22"/>
          <w:szCs w:val="22"/>
        </w:rPr>
        <w:t>on Argument (</w:t>
      </w:r>
      <w:r w:rsidR="00EC74BB" w:rsidRPr="002E6ABA">
        <w:rPr>
          <w:sz w:val="22"/>
          <w:szCs w:val="22"/>
        </w:rPr>
        <w:t>2012</w:t>
      </w:r>
      <w:r w:rsidR="00E707DE" w:rsidRPr="002E6ABA">
        <w:rPr>
          <w:sz w:val="22"/>
          <w:szCs w:val="22"/>
        </w:rPr>
        <w:t xml:space="preserve"> </w:t>
      </w:r>
      <w:r w:rsidRPr="002E6ABA">
        <w:rPr>
          <w:sz w:val="22"/>
          <w:szCs w:val="22"/>
        </w:rPr>
        <w:t xml:space="preserve">UTA custom </w:t>
      </w:r>
      <w:r w:rsidR="009E7734" w:rsidRPr="002E6ABA">
        <w:rPr>
          <w:sz w:val="22"/>
          <w:szCs w:val="22"/>
        </w:rPr>
        <w:t>3</w:t>
      </w:r>
      <w:r w:rsidR="009E7734" w:rsidRPr="002E6ABA">
        <w:rPr>
          <w:sz w:val="22"/>
          <w:szCs w:val="22"/>
          <w:vertAlign w:val="superscript"/>
        </w:rPr>
        <w:t>rd</w:t>
      </w:r>
      <w:r w:rsidR="009E7734" w:rsidRPr="002E6ABA">
        <w:rPr>
          <w:sz w:val="22"/>
          <w:szCs w:val="22"/>
        </w:rPr>
        <w:t xml:space="preserve"> </w:t>
      </w:r>
      <w:r w:rsidR="00E707DE" w:rsidRPr="002E6ABA">
        <w:rPr>
          <w:sz w:val="22"/>
          <w:szCs w:val="22"/>
        </w:rPr>
        <w:t>edition</w:t>
      </w:r>
      <w:r w:rsidRPr="002E6ABA">
        <w:rPr>
          <w:sz w:val="22"/>
          <w:szCs w:val="22"/>
        </w:rPr>
        <w:t>)</w:t>
      </w:r>
    </w:p>
    <w:p w:rsidR="00FC15A8" w:rsidRPr="002E6ABA" w:rsidRDefault="00E707DE" w:rsidP="00E67534">
      <w:pPr>
        <w:rPr>
          <w:sz w:val="22"/>
          <w:szCs w:val="22"/>
        </w:rPr>
      </w:pPr>
      <w:r w:rsidRPr="002E6ABA">
        <w:rPr>
          <w:i/>
          <w:sz w:val="22"/>
          <w:szCs w:val="22"/>
        </w:rPr>
        <w:t>The Scott, Foresman Writer</w:t>
      </w:r>
      <w:r w:rsidR="00E67534" w:rsidRPr="002E6ABA">
        <w:rPr>
          <w:sz w:val="22"/>
          <w:szCs w:val="22"/>
        </w:rPr>
        <w:t xml:space="preserve"> </w:t>
      </w:r>
      <w:r w:rsidRPr="002E6ABA">
        <w:rPr>
          <w:sz w:val="22"/>
          <w:szCs w:val="22"/>
        </w:rPr>
        <w:t>(UTA custom</w:t>
      </w:r>
      <w:r w:rsidR="00E67534" w:rsidRPr="002E6ABA">
        <w:rPr>
          <w:sz w:val="22"/>
          <w:szCs w:val="22"/>
        </w:rPr>
        <w:t xml:space="preserve"> edition</w:t>
      </w:r>
      <w:r w:rsidRPr="002E6ABA">
        <w:rPr>
          <w:sz w:val="22"/>
          <w:szCs w:val="22"/>
        </w:rPr>
        <w:t>)</w:t>
      </w:r>
    </w:p>
    <w:p w:rsidR="00621401" w:rsidRPr="002E6ABA" w:rsidRDefault="00621401" w:rsidP="00E67534">
      <w:pPr>
        <w:pStyle w:val="BodyText"/>
        <w:tabs>
          <w:tab w:val="clear" w:pos="360"/>
          <w:tab w:val="left" w:pos="720"/>
        </w:tabs>
        <w:jc w:val="left"/>
        <w:rPr>
          <w:rFonts w:ascii="Times New Roman" w:hAnsi="Times New Roman"/>
          <w:b/>
          <w:bCs/>
          <w:noProof w:val="0"/>
          <w:spacing w:val="0"/>
          <w:sz w:val="22"/>
          <w:szCs w:val="22"/>
        </w:rPr>
      </w:pPr>
    </w:p>
    <w:p w:rsidR="008A0078" w:rsidRPr="00D516D1" w:rsidRDefault="00E67534" w:rsidP="00E67534">
      <w:pPr>
        <w:pStyle w:val="BodyText"/>
        <w:tabs>
          <w:tab w:val="clear" w:pos="360"/>
          <w:tab w:val="left" w:pos="720"/>
        </w:tabs>
        <w:jc w:val="left"/>
        <w:rPr>
          <w:rFonts w:ascii="Times New Roman" w:hAnsi="Times New Roman"/>
          <w:b/>
          <w:bCs/>
          <w:noProof w:val="0"/>
          <w:spacing w:val="0"/>
          <w:sz w:val="24"/>
          <w:szCs w:val="24"/>
        </w:rPr>
      </w:pPr>
      <w:r w:rsidRPr="00D516D1">
        <w:rPr>
          <w:rFonts w:ascii="Times New Roman" w:hAnsi="Times New Roman"/>
          <w:b/>
          <w:bCs/>
          <w:noProof w:val="0"/>
          <w:spacing w:val="0"/>
          <w:sz w:val="24"/>
          <w:szCs w:val="24"/>
        </w:rPr>
        <w:t>D</w:t>
      </w:r>
      <w:r w:rsidR="00E03DEF" w:rsidRPr="00D516D1">
        <w:rPr>
          <w:rFonts w:ascii="Times New Roman" w:hAnsi="Times New Roman"/>
          <w:b/>
          <w:bCs/>
          <w:noProof w:val="0"/>
          <w:spacing w:val="0"/>
          <w:sz w:val="24"/>
          <w:szCs w:val="24"/>
        </w:rPr>
        <w:t>escription of Major Assignments:</w:t>
      </w:r>
    </w:p>
    <w:p w:rsidR="00A655BA" w:rsidRPr="002E6ABA" w:rsidRDefault="00621401"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Discourse Community Analysis</w:t>
      </w:r>
    </w:p>
    <w:p w:rsidR="00A655BA" w:rsidRPr="002E6ABA" w:rsidRDefault="00A655BA"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 xml:space="preserve">Rhetorical </w:t>
      </w:r>
      <w:r w:rsidR="00621401" w:rsidRPr="002E6ABA">
        <w:rPr>
          <w:rFonts w:ascii="Times New Roman" w:hAnsi="Times New Roman"/>
          <w:b/>
          <w:bCs/>
          <w:noProof w:val="0"/>
          <w:spacing w:val="0"/>
          <w:sz w:val="22"/>
          <w:szCs w:val="22"/>
        </w:rPr>
        <w:t xml:space="preserve">Analysis </w:t>
      </w:r>
    </w:p>
    <w:p w:rsidR="00A655BA" w:rsidRPr="002E6ABA" w:rsidRDefault="00A655BA"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Synthesis Essay</w:t>
      </w:r>
      <w:r w:rsidR="00621401" w:rsidRPr="002E6ABA">
        <w:rPr>
          <w:rFonts w:ascii="Times New Roman" w:hAnsi="Times New Roman"/>
          <w:b/>
          <w:bCs/>
          <w:noProof w:val="0"/>
          <w:spacing w:val="0"/>
          <w:sz w:val="22"/>
          <w:szCs w:val="22"/>
        </w:rPr>
        <w:t xml:space="preserve"> </w:t>
      </w:r>
    </w:p>
    <w:p w:rsidR="00621401" w:rsidRPr="002E6ABA" w:rsidRDefault="00621401" w:rsidP="00621401">
      <w:pPr>
        <w:pStyle w:val="BodyText"/>
        <w:tabs>
          <w:tab w:val="clear" w:pos="360"/>
          <w:tab w:val="left" w:pos="720"/>
        </w:tabs>
        <w:ind w:left="720"/>
        <w:jc w:val="left"/>
        <w:rPr>
          <w:rFonts w:ascii="Times New Roman" w:hAnsi="Times New Roman"/>
          <w:b/>
          <w:bCs/>
          <w:noProof w:val="0"/>
          <w:spacing w:val="0"/>
          <w:sz w:val="22"/>
          <w:szCs w:val="22"/>
        </w:rPr>
      </w:pPr>
    </w:p>
    <w:p w:rsidR="00E67534" w:rsidRPr="002E6ABA" w:rsidRDefault="00E67534" w:rsidP="00E67534">
      <w:pPr>
        <w:pStyle w:val="BodyText"/>
        <w:tabs>
          <w:tab w:val="clear" w:pos="360"/>
          <w:tab w:val="left" w:pos="720"/>
        </w:tabs>
        <w:jc w:val="left"/>
        <w:rPr>
          <w:rFonts w:ascii="Times New Roman" w:hAnsi="Times New Roman"/>
          <w:b/>
          <w:bCs/>
          <w:noProof w:val="0"/>
          <w:spacing w:val="0"/>
          <w:sz w:val="22"/>
          <w:szCs w:val="22"/>
        </w:rPr>
      </w:pPr>
      <w:r w:rsidRPr="00D516D1">
        <w:rPr>
          <w:rFonts w:ascii="Times New Roman" w:hAnsi="Times New Roman"/>
          <w:b/>
          <w:bCs/>
          <w:noProof w:val="0"/>
          <w:spacing w:val="0"/>
          <w:sz w:val="24"/>
          <w:szCs w:val="24"/>
        </w:rPr>
        <w:t>Class Participation:</w:t>
      </w:r>
      <w:r w:rsidRPr="002E6ABA">
        <w:rPr>
          <w:rFonts w:ascii="Times New Roman" w:hAnsi="Times New Roman"/>
          <w:b/>
          <w:bCs/>
          <w:noProof w:val="0"/>
          <w:spacing w:val="0"/>
          <w:sz w:val="22"/>
          <w:szCs w:val="22"/>
        </w:rPr>
        <w:t xml:space="preserve"> </w:t>
      </w:r>
      <w:r w:rsidRPr="002E6ABA">
        <w:rPr>
          <w:rFonts w:ascii="Times New Roman" w:hAnsi="Times New Roman"/>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1B1131" w:rsidRPr="002E6ABA" w:rsidRDefault="001B1131" w:rsidP="00E67534">
      <w:pPr>
        <w:pStyle w:val="BodyText"/>
        <w:tabs>
          <w:tab w:val="clear" w:pos="360"/>
          <w:tab w:val="left" w:pos="720"/>
        </w:tabs>
        <w:jc w:val="left"/>
        <w:rPr>
          <w:rFonts w:ascii="Times New Roman" w:hAnsi="Times New Roman"/>
          <w:bCs/>
          <w:noProof w:val="0"/>
          <w:spacing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D516D1">
        <w:rPr>
          <w:rFonts w:ascii="Times New Roman" w:hAnsi="Times New Roman"/>
          <w:b/>
          <w:bCs/>
          <w:sz w:val="24"/>
          <w:szCs w:val="24"/>
        </w:rPr>
        <w:t>Grades</w:t>
      </w:r>
      <w:r w:rsidRPr="002E6ABA">
        <w:rPr>
          <w:rFonts w:ascii="Times New Roman" w:hAnsi="Times New Roman"/>
          <w:b/>
          <w:bCs/>
          <w:sz w:val="22"/>
          <w:szCs w:val="22"/>
        </w:rPr>
        <w:t>.</w:t>
      </w:r>
      <w:r w:rsidRPr="002E6ABA">
        <w:rPr>
          <w:rFonts w:ascii="Times New Roman" w:hAnsi="Times New Roman"/>
          <w:sz w:val="22"/>
          <w:szCs w:val="22"/>
        </w:rPr>
        <w:t xml:space="preserve"> </w:t>
      </w:r>
      <w:r w:rsidR="00E368C3" w:rsidRPr="002E6ABA">
        <w:rPr>
          <w:rFonts w:ascii="Times New Roman" w:hAnsi="Times New Roman"/>
          <w:noProof w:val="0"/>
          <w:sz w:val="22"/>
          <w:szCs w:val="22"/>
        </w:rPr>
        <w:t>Final g</w:t>
      </w:r>
      <w:r w:rsidRPr="002E6ABA">
        <w:rPr>
          <w:rFonts w:ascii="Times New Roman" w:hAnsi="Times New Roman"/>
          <w:noProof w:val="0"/>
          <w:sz w:val="22"/>
          <w:szCs w:val="22"/>
        </w:rPr>
        <w:t xml:space="preserve">rades in FYC are A, B, C, F, and Z. </w:t>
      </w:r>
      <w:r w:rsidRPr="002E6ABA">
        <w:rPr>
          <w:rFonts w:ascii="Times New Roman" w:hAnsi="Times New Roman"/>
          <w:b/>
          <w:noProof w:val="0"/>
          <w:sz w:val="22"/>
          <w:szCs w:val="22"/>
        </w:rPr>
        <w:t>Students must pass ENGL 1301 and ENGL 1302 with a grade of C or higher in order to move on to the next course.</w:t>
      </w:r>
      <w:r w:rsidRPr="002E6ABA">
        <w:rPr>
          <w:rFonts w:ascii="Times New Roman" w:hAnsi="Times New Roman"/>
          <w:noProof w:val="0"/>
          <w:sz w:val="22"/>
          <w:szCs w:val="22"/>
        </w:rPr>
        <w:t xml:space="preserve"> This policy is in place because of the key role that First-Year English courses play in students’ educational experiences at UTA.</w:t>
      </w: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2E6ABA">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2E6ABA">
        <w:rPr>
          <w:rFonts w:ascii="Times New Roman" w:hAnsi="Times New Roman"/>
          <w:b/>
          <w:noProof w:val="0"/>
          <w:sz w:val="22"/>
          <w:szCs w:val="22"/>
        </w:rPr>
        <w:t xml:space="preserve">This judgment is made by the instructor and not necessarily based upon a number average. </w:t>
      </w:r>
      <w:r w:rsidRPr="002E6ABA">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2E6ABA">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rsidR="00E67534" w:rsidRPr="002E6ABA" w:rsidRDefault="00E67534" w:rsidP="00E67534">
      <w:pPr>
        <w:pStyle w:val="BodyText"/>
        <w:tabs>
          <w:tab w:val="left" w:pos="240"/>
        </w:tabs>
        <w:jc w:val="left"/>
        <w:rPr>
          <w:rFonts w:ascii="Times New Roman" w:hAnsi="Times New Roman"/>
          <w:sz w:val="22"/>
          <w:szCs w:val="22"/>
        </w:rPr>
      </w:pPr>
    </w:p>
    <w:p w:rsidR="00E67534" w:rsidRPr="002E6ABA" w:rsidRDefault="00E67534" w:rsidP="00E67534">
      <w:pPr>
        <w:rPr>
          <w:sz w:val="22"/>
          <w:szCs w:val="22"/>
        </w:rPr>
      </w:pPr>
      <w:r w:rsidRPr="002E6ABA">
        <w:rPr>
          <w:sz w:val="22"/>
          <w:szCs w:val="22"/>
        </w:rPr>
        <w:t>Your final grade for this course will consist of the following:</w:t>
      </w:r>
    </w:p>
    <w:p w:rsidR="003169F7" w:rsidRPr="002E6ABA" w:rsidRDefault="00621401" w:rsidP="00E67534">
      <w:pPr>
        <w:rPr>
          <w:b/>
          <w:sz w:val="22"/>
          <w:szCs w:val="22"/>
        </w:rPr>
      </w:pPr>
      <w:r w:rsidRPr="002E6ABA">
        <w:rPr>
          <w:sz w:val="22"/>
          <w:szCs w:val="22"/>
        </w:rPr>
        <w:t>Discourse Analysis</w:t>
      </w:r>
      <w:r w:rsidR="003169F7" w:rsidRPr="002E6ABA">
        <w:rPr>
          <w:sz w:val="22"/>
          <w:szCs w:val="22"/>
        </w:rPr>
        <w:t>:</w:t>
      </w:r>
      <w:r w:rsidR="00A87775" w:rsidRPr="002E6ABA">
        <w:rPr>
          <w:sz w:val="22"/>
          <w:szCs w:val="22"/>
        </w:rPr>
        <w:t xml:space="preserve"> 15%</w:t>
      </w:r>
      <w:r w:rsidRPr="002E6ABA">
        <w:rPr>
          <w:sz w:val="22"/>
          <w:szCs w:val="22"/>
        </w:rPr>
        <w:t>, Rhetorical Analysis 20%, Synthesis Essay 30%</w:t>
      </w:r>
      <w:r w:rsidR="004921DA" w:rsidRPr="002E6ABA">
        <w:rPr>
          <w:sz w:val="22"/>
          <w:szCs w:val="22"/>
        </w:rPr>
        <w:t>,</w:t>
      </w:r>
      <w:r w:rsidRPr="002E6ABA">
        <w:rPr>
          <w:sz w:val="22"/>
          <w:szCs w:val="22"/>
        </w:rPr>
        <w:t xml:space="preserve"> Discussion Posts 15%,</w:t>
      </w:r>
      <w:r w:rsidR="004921DA" w:rsidRPr="002E6ABA">
        <w:rPr>
          <w:sz w:val="22"/>
          <w:szCs w:val="22"/>
        </w:rPr>
        <w:t xml:space="preserve"> In-Class Essay 5</w:t>
      </w:r>
      <w:r w:rsidR="003169F7" w:rsidRPr="002E6ABA">
        <w:rPr>
          <w:sz w:val="22"/>
          <w:szCs w:val="22"/>
        </w:rPr>
        <w:t>%</w:t>
      </w:r>
      <w:r w:rsidR="004921DA" w:rsidRPr="002E6ABA">
        <w:rPr>
          <w:sz w:val="22"/>
          <w:szCs w:val="22"/>
        </w:rPr>
        <w:t>, Peer</w:t>
      </w:r>
      <w:r w:rsidR="00A87775" w:rsidRPr="002E6ABA">
        <w:rPr>
          <w:sz w:val="22"/>
          <w:szCs w:val="22"/>
        </w:rPr>
        <w:t xml:space="preserve"> Reviews 15</w:t>
      </w:r>
      <w:r w:rsidR="004921DA" w:rsidRPr="002E6ABA">
        <w:rPr>
          <w:sz w:val="22"/>
          <w:szCs w:val="22"/>
        </w:rPr>
        <w:t>%.</w:t>
      </w:r>
    </w:p>
    <w:p w:rsidR="00E67534" w:rsidRPr="002E6ABA" w:rsidRDefault="003169F7" w:rsidP="00E67534">
      <w:pPr>
        <w:rPr>
          <w:color w:val="FFFFFF" w:themeColor="background1"/>
          <w:sz w:val="22"/>
          <w:szCs w:val="22"/>
        </w:rPr>
      </w:pPr>
      <w:r w:rsidRPr="002E6ABA">
        <w:rPr>
          <w:color w:val="FFFFFF" w:themeColor="background1"/>
          <w:sz w:val="22"/>
          <w:szCs w:val="22"/>
        </w:rPr>
        <w:t>Major Writing Assignments: 25% each,</w:t>
      </w:r>
    </w:p>
    <w:p w:rsidR="00E67534" w:rsidRPr="002E6ABA" w:rsidRDefault="00E67534" w:rsidP="00E67534">
      <w:pPr>
        <w:rPr>
          <w:color w:val="FFFFFF" w:themeColor="background1"/>
          <w:sz w:val="22"/>
          <w:szCs w:val="22"/>
        </w:rPr>
      </w:pPr>
      <w:r w:rsidRPr="002E6ABA">
        <w:rPr>
          <w:sz w:val="22"/>
          <w:szCs w:val="22"/>
        </w:rPr>
        <w:t>Final grades will be calculated as follows: A=90-100%, B=80-89%, C=70-79%, F=69%-and below; Z=see the Z grade policy above.</w:t>
      </w:r>
    </w:p>
    <w:p w:rsidR="00E67534" w:rsidRPr="002E6ABA" w:rsidRDefault="00E67534" w:rsidP="00E67534">
      <w:pPr>
        <w:tabs>
          <w:tab w:val="left" w:pos="240"/>
        </w:tabs>
        <w:suppressAutoHyphens/>
        <w:rPr>
          <w:sz w:val="22"/>
          <w:szCs w:val="22"/>
        </w:rPr>
      </w:pPr>
    </w:p>
    <w:p w:rsidR="00415D8D" w:rsidRPr="002E6ABA" w:rsidRDefault="00E67534" w:rsidP="003169F7">
      <w:pPr>
        <w:tabs>
          <w:tab w:val="left" w:pos="240"/>
        </w:tabs>
        <w:suppressAutoHyphens/>
        <w:rPr>
          <w:sz w:val="22"/>
          <w:szCs w:val="22"/>
        </w:rPr>
      </w:pPr>
      <w:r w:rsidRPr="002E6ABA">
        <w:rPr>
          <w:b/>
          <w:sz w:val="22"/>
          <w:szCs w:val="22"/>
        </w:rPr>
        <w:t xml:space="preserve">All major essay projects must be completed to pass the course. </w:t>
      </w:r>
      <w:r w:rsidRPr="002E6ABA">
        <w:rPr>
          <w:sz w:val="22"/>
          <w:szCs w:val="22"/>
        </w:rPr>
        <w:t xml:space="preserve">If you fail to complete an essay project, you will fail the course, regardless of your average. </w:t>
      </w:r>
      <w:r w:rsidRPr="002E6ABA">
        <w:rPr>
          <w:b/>
          <w:sz w:val="22"/>
          <w:szCs w:val="22"/>
        </w:rPr>
        <w:t>Keep all papers</w:t>
      </w:r>
      <w:r w:rsidRPr="002E6ABA">
        <w:rPr>
          <w:sz w:val="22"/>
          <w:szCs w:val="22"/>
        </w:rPr>
        <w:t xml:space="preserve"> until you receive your final grade from the university. You cannot challenge a grade without evidence.</w:t>
      </w:r>
      <w:r w:rsidR="00415D8D" w:rsidRPr="002E6ABA">
        <w:rPr>
          <w:color w:val="FF0000"/>
          <w:sz w:val="22"/>
          <w:szCs w:val="22"/>
        </w:rPr>
        <w:t xml:space="preserve"> </w:t>
      </w:r>
      <w:r w:rsidR="00415D8D" w:rsidRPr="002E6ABA">
        <w:rPr>
          <w:sz w:val="22"/>
          <w:szCs w:val="22"/>
        </w:rPr>
        <w:t>Students are expected to keep track of their performance throughout the semester and seek guidance from available sources (including the instructor) if their performance drops below satisfactory levels.</w:t>
      </w:r>
    </w:p>
    <w:p w:rsidR="00415D8D" w:rsidRPr="002E6ABA" w:rsidRDefault="00415D8D" w:rsidP="00415D8D">
      <w:pPr>
        <w:rPr>
          <w:sz w:val="22"/>
          <w:szCs w:val="22"/>
        </w:rPr>
      </w:pPr>
    </w:p>
    <w:p w:rsidR="00415D8D" w:rsidRPr="002E6ABA" w:rsidRDefault="00415D8D" w:rsidP="00415D8D">
      <w:pPr>
        <w:rPr>
          <w:sz w:val="22"/>
          <w:szCs w:val="22"/>
        </w:rPr>
      </w:pPr>
      <w:r w:rsidRPr="00D516D1">
        <w:rPr>
          <w:b/>
        </w:rPr>
        <w:t>Expectations for Out-of-Class Study</w:t>
      </w:r>
      <w:r w:rsidRPr="002E6ABA">
        <w:rPr>
          <w:sz w:val="22"/>
          <w:szCs w:val="22"/>
        </w:rPr>
        <w:t xml:space="preserve">: </w:t>
      </w:r>
      <w:r w:rsidR="003169F7" w:rsidRPr="002E6ABA">
        <w:rPr>
          <w:bCs/>
          <w:sz w:val="22"/>
          <w:szCs w:val="22"/>
        </w:rPr>
        <w:t xml:space="preserve"> </w:t>
      </w:r>
      <w:r w:rsidRPr="002E6ABA">
        <w:rPr>
          <w:bCs/>
          <w:sz w:val="22"/>
          <w:szCs w:val="22"/>
        </w:rPr>
        <w:t xml:space="preserve">A general rule of thumb is this: for every credit hour earned, a student should spend 3 hours per week working outside of class. Hence, a 3-credit course might have a minimum expectation of </w:t>
      </w:r>
      <w:r w:rsidR="003169F7" w:rsidRPr="002E6ABA">
        <w:rPr>
          <w:bCs/>
          <w:sz w:val="22"/>
          <w:szCs w:val="22"/>
        </w:rPr>
        <w:t>9 hours of reading, study, etc.</w:t>
      </w:r>
      <w:r w:rsidRPr="002E6ABA">
        <w:rPr>
          <w:sz w:val="22"/>
          <w:szCs w:val="22"/>
        </w:rPr>
        <w:t xml:space="preserve"> Beyond the time required to attend each class meeting, students enrolled in this course should expect to spend at least an additional </w:t>
      </w:r>
      <w:r w:rsidR="003169F7" w:rsidRPr="002E6ABA">
        <w:rPr>
          <w:sz w:val="22"/>
          <w:szCs w:val="22"/>
          <w:u w:val="single"/>
        </w:rPr>
        <w:t>9</w:t>
      </w:r>
      <w:r w:rsidRPr="002E6ABA">
        <w:rPr>
          <w:sz w:val="22"/>
          <w:szCs w:val="22"/>
        </w:rPr>
        <w:t xml:space="preserve"> hours per week of </w:t>
      </w:r>
      <w:r w:rsidRPr="002E6ABA">
        <w:rPr>
          <w:sz w:val="22"/>
          <w:szCs w:val="22"/>
        </w:rPr>
        <w:lastRenderedPageBreak/>
        <w:t xml:space="preserve">their own time in course-related activities, including reading required materials, completing assignments, preparing for exams, etc. </w:t>
      </w:r>
    </w:p>
    <w:p w:rsidR="00415D8D" w:rsidRPr="002E6ABA" w:rsidRDefault="00415D8D" w:rsidP="00415D8D">
      <w:pPr>
        <w:rPr>
          <w:b/>
          <w:color w:val="0000FF"/>
          <w:sz w:val="22"/>
          <w:szCs w:val="22"/>
        </w:rPr>
      </w:pPr>
    </w:p>
    <w:p w:rsidR="00415D8D" w:rsidRPr="002E6ABA" w:rsidRDefault="00415D8D" w:rsidP="00415D8D">
      <w:pPr>
        <w:rPr>
          <w:sz w:val="22"/>
          <w:szCs w:val="22"/>
        </w:rPr>
      </w:pPr>
      <w:r w:rsidRPr="00D516D1">
        <w:rPr>
          <w:b/>
        </w:rPr>
        <w:t>Grade Grievances</w:t>
      </w:r>
      <w:r w:rsidR="003169F7" w:rsidRPr="002E6ABA">
        <w:rPr>
          <w:sz w:val="22"/>
          <w:szCs w:val="22"/>
        </w:rPr>
        <w:t>:</w:t>
      </w:r>
      <w:r w:rsidRPr="002E6ABA">
        <w:rPr>
          <w:sz w:val="22"/>
          <w:szCs w:val="22"/>
        </w:rPr>
        <w:t xml:space="preserve"> Any appeal of a grade in this course must follow the procedures and deadlines for grade-related grievances as published in the current undergraduate / graduate catalog. </w:t>
      </w:r>
      <w:hyperlink r:id="rId8" w:anchor="10" w:history="1">
        <w:r w:rsidRPr="002E6ABA">
          <w:rPr>
            <w:rStyle w:val="Hyperlink"/>
            <w:sz w:val="22"/>
            <w:szCs w:val="22"/>
          </w:rPr>
          <w:t>http://wweb.uta.edu/catalog/content/general/academic_regulations.aspx#10</w:t>
        </w:r>
      </w:hyperlink>
    </w:p>
    <w:p w:rsidR="00415D8D" w:rsidRPr="002E6ABA" w:rsidRDefault="00415D8D" w:rsidP="00E67534">
      <w:pPr>
        <w:tabs>
          <w:tab w:val="left" w:pos="240"/>
        </w:tabs>
        <w:suppressAutoHyphens/>
        <w:rPr>
          <w:sz w:val="22"/>
          <w:szCs w:val="22"/>
        </w:rPr>
      </w:pPr>
    </w:p>
    <w:p w:rsidR="00E67534" w:rsidRPr="002E6ABA" w:rsidRDefault="00E67534" w:rsidP="00E67534">
      <w:pPr>
        <w:pStyle w:val="BodyText"/>
        <w:jc w:val="left"/>
        <w:rPr>
          <w:rFonts w:ascii="Times New Roman" w:hAnsi="Times New Roman"/>
          <w:sz w:val="22"/>
          <w:szCs w:val="22"/>
        </w:rPr>
      </w:pPr>
    </w:p>
    <w:p w:rsidR="00E67534" w:rsidRDefault="00437516" w:rsidP="00E67534">
      <w:pPr>
        <w:pStyle w:val="BodyText"/>
        <w:jc w:val="left"/>
        <w:rPr>
          <w:rFonts w:ascii="Times New Roman" w:hAnsi="Times New Roman"/>
          <w:sz w:val="22"/>
          <w:szCs w:val="22"/>
        </w:rPr>
      </w:pPr>
      <w:r w:rsidRPr="00D516D1">
        <w:rPr>
          <w:rFonts w:ascii="Times New Roman" w:hAnsi="Times New Roman"/>
          <w:b/>
          <w:bCs/>
          <w:sz w:val="24"/>
          <w:szCs w:val="24"/>
        </w:rPr>
        <w:t>Late Assignments:</w:t>
      </w:r>
      <w:r w:rsidRPr="002E6ABA">
        <w:rPr>
          <w:rFonts w:ascii="Times New Roman" w:hAnsi="Times New Roman"/>
          <w:b/>
          <w:bCs/>
          <w:sz w:val="22"/>
          <w:szCs w:val="22"/>
        </w:rPr>
        <w:t xml:space="preserve"> </w:t>
      </w:r>
      <w:r w:rsidR="00E67534" w:rsidRPr="002E6ABA">
        <w:rPr>
          <w:rFonts w:ascii="Times New Roman" w:hAnsi="Times New Roman"/>
          <w:sz w:val="22"/>
          <w:szCs w:val="22"/>
        </w:rPr>
        <w:t xml:space="preserve"> </w:t>
      </w:r>
      <w:r w:rsidR="003169F7" w:rsidRPr="002E6ABA">
        <w:rPr>
          <w:rFonts w:ascii="Times New Roman" w:hAnsi="Times New Roman"/>
          <w:sz w:val="22"/>
          <w:szCs w:val="22"/>
        </w:rPr>
        <w:t>No late assignments will be accepted.</w:t>
      </w:r>
    </w:p>
    <w:p w:rsidR="00D516D1" w:rsidRPr="002E6ABA" w:rsidRDefault="00D516D1" w:rsidP="00E67534">
      <w:pPr>
        <w:pStyle w:val="BodyText"/>
        <w:jc w:val="left"/>
        <w:rPr>
          <w:rFonts w:ascii="Times New Roman" w:hAnsi="Times New Roman"/>
          <w:sz w:val="22"/>
          <w:szCs w:val="22"/>
        </w:rPr>
      </w:pPr>
    </w:p>
    <w:p w:rsidR="00101507" w:rsidRPr="00D516D1" w:rsidRDefault="00101507" w:rsidP="00E67534">
      <w:pPr>
        <w:rPr>
          <w:b/>
          <w:sz w:val="22"/>
          <w:szCs w:val="22"/>
        </w:rPr>
      </w:pPr>
      <w:r w:rsidRPr="00D516D1">
        <w:rPr>
          <w:b/>
        </w:rPr>
        <w:t>Attendance Policy</w:t>
      </w:r>
      <w:r w:rsidRPr="002E6ABA">
        <w:rPr>
          <w:sz w:val="22"/>
          <w:szCs w:val="22"/>
        </w:rPr>
        <w:t>:</w:t>
      </w:r>
      <w:r w:rsidR="00E67534" w:rsidRPr="002E6ABA">
        <w:rPr>
          <w:sz w:val="22"/>
          <w:szCs w:val="22"/>
        </w:rPr>
        <w:t xml:space="preserve"> </w:t>
      </w:r>
      <w:r w:rsidR="003169F7" w:rsidRPr="002E6ABA">
        <w:rPr>
          <w:sz w:val="22"/>
          <w:szCs w:val="22"/>
        </w:rPr>
        <w:t xml:space="preserve">Because this course only meets once a week, </w:t>
      </w:r>
      <w:r w:rsidR="003169F7" w:rsidRPr="002E6ABA">
        <w:rPr>
          <w:b/>
          <w:i/>
          <w:sz w:val="22"/>
          <w:szCs w:val="22"/>
        </w:rPr>
        <w:t xml:space="preserve">no unexcused </w:t>
      </w:r>
      <w:r w:rsidRPr="002E6ABA">
        <w:rPr>
          <w:b/>
          <w:i/>
          <w:sz w:val="22"/>
          <w:szCs w:val="22"/>
        </w:rPr>
        <w:t>absences</w:t>
      </w:r>
      <w:r w:rsidR="003169F7" w:rsidRPr="002E6ABA">
        <w:rPr>
          <w:sz w:val="22"/>
          <w:szCs w:val="22"/>
        </w:rPr>
        <w:t xml:space="preserve"> </w:t>
      </w:r>
      <w:r w:rsidRPr="002E6ABA">
        <w:rPr>
          <w:sz w:val="22"/>
          <w:szCs w:val="22"/>
        </w:rPr>
        <w:t>will be allowed. If you do not at</w:t>
      </w:r>
      <w:r w:rsidR="007629BA">
        <w:rPr>
          <w:sz w:val="22"/>
          <w:szCs w:val="22"/>
        </w:rPr>
        <w:t>tend the class meeting on Tuesday</w:t>
      </w:r>
      <w:r w:rsidRPr="002E6ABA">
        <w:rPr>
          <w:sz w:val="22"/>
          <w:szCs w:val="22"/>
        </w:rPr>
        <w:t xml:space="preserve"> of a given week, </w:t>
      </w:r>
      <w:r w:rsidRPr="002E6ABA">
        <w:rPr>
          <w:b/>
          <w:sz w:val="22"/>
          <w:szCs w:val="22"/>
        </w:rPr>
        <w:t xml:space="preserve">you will not receive credit for the week’s assignments. </w:t>
      </w:r>
      <w:r w:rsidRPr="002E6ABA">
        <w:rPr>
          <w:sz w:val="22"/>
          <w:szCs w:val="22"/>
        </w:rPr>
        <w:t xml:space="preserve">Absences will be excused for school-sponsored </w:t>
      </w:r>
      <w:r w:rsidR="00201C13" w:rsidRPr="002E6ABA">
        <w:rPr>
          <w:sz w:val="22"/>
          <w:szCs w:val="22"/>
        </w:rPr>
        <w:t xml:space="preserve">events and in cases of serious illness. These absences must be accompanied by documentation. Likewise, habitual tardiness will not be tolerated. If you are late for class on more than two occasions, you will receive a 3 point deduction from your final grade for each incidence of tardiness. </w:t>
      </w:r>
    </w:p>
    <w:p w:rsidR="00E67534" w:rsidRPr="002E6ABA" w:rsidRDefault="00E67534" w:rsidP="00E67534">
      <w:pPr>
        <w:jc w:val="both"/>
        <w:rPr>
          <w:sz w:val="22"/>
          <w:szCs w:val="22"/>
        </w:rPr>
      </w:pPr>
    </w:p>
    <w:p w:rsidR="00E67534" w:rsidRPr="002E6ABA" w:rsidRDefault="00437516" w:rsidP="00E67534">
      <w:pPr>
        <w:jc w:val="both"/>
        <w:rPr>
          <w:sz w:val="22"/>
          <w:szCs w:val="22"/>
        </w:rPr>
      </w:pPr>
      <w:r w:rsidRPr="00D516D1">
        <w:rPr>
          <w:b/>
        </w:rPr>
        <w:t>Classroom Behavior</w:t>
      </w:r>
      <w:r w:rsidRPr="002E6ABA">
        <w:rPr>
          <w:b/>
          <w:sz w:val="22"/>
          <w:szCs w:val="22"/>
        </w:rPr>
        <w:t>:</w:t>
      </w:r>
      <w:r w:rsidR="00E67534" w:rsidRPr="002E6ABA">
        <w:rPr>
          <w:b/>
          <w:sz w:val="22"/>
          <w:szCs w:val="22"/>
        </w:rPr>
        <w:t xml:space="preserve"> </w:t>
      </w:r>
      <w:r w:rsidR="00E67534" w:rsidRPr="002E6ABA">
        <w:rPr>
          <w:sz w:val="22"/>
          <w:szCs w:val="22"/>
        </w:rPr>
        <w:t xml:space="preserve">Class sessions are short and require your full attention. All cell phones, pagers, iPods, MP3 players, laptops, and other electronic devices should be </w:t>
      </w:r>
      <w:r w:rsidR="00E67534" w:rsidRPr="002E6ABA">
        <w:rPr>
          <w:b/>
          <w:sz w:val="22"/>
          <w:szCs w:val="22"/>
        </w:rPr>
        <w:t>turned off and put away when entering the classroom</w:t>
      </w:r>
      <w:r w:rsidR="00E67534" w:rsidRPr="002E6ABA">
        <w:rPr>
          <w:sz w:val="22"/>
          <w:szCs w:val="22"/>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2E6ABA" w:rsidRDefault="00E67534" w:rsidP="00E67534">
      <w:pPr>
        <w:jc w:val="both"/>
        <w:rPr>
          <w:sz w:val="22"/>
          <w:szCs w:val="22"/>
        </w:rPr>
      </w:pPr>
    </w:p>
    <w:p w:rsidR="00E67534" w:rsidRPr="002E6ABA" w:rsidRDefault="00E67534" w:rsidP="00E67534">
      <w:pPr>
        <w:pStyle w:val="PlainText"/>
        <w:jc w:val="both"/>
        <w:rPr>
          <w:rFonts w:ascii="Times New Roman" w:hAnsi="Times New Roman"/>
          <w:sz w:val="22"/>
          <w:szCs w:val="22"/>
        </w:rPr>
      </w:pPr>
      <w:r w:rsidRPr="002E6ABA">
        <w:rPr>
          <w:rFonts w:ascii="Times New Roman" w:hAnsi="Times New Roman"/>
          <w:sz w:val="22"/>
          <w:szCs w:val="22"/>
        </w:rPr>
        <w:t xml:space="preserve">According to </w:t>
      </w:r>
      <w:r w:rsidRPr="002E6ABA">
        <w:rPr>
          <w:rFonts w:ascii="Times New Roman" w:hAnsi="Times New Roman"/>
          <w:i/>
          <w:sz w:val="22"/>
          <w:szCs w:val="22"/>
        </w:rPr>
        <w:t>Student Conduct and Discipline</w:t>
      </w:r>
      <w:r w:rsidRPr="002E6ABA">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67534" w:rsidRPr="002E6ABA" w:rsidRDefault="00E67534" w:rsidP="00E67534">
      <w:pPr>
        <w:pStyle w:val="PlainText"/>
        <w:jc w:val="both"/>
        <w:rPr>
          <w:rFonts w:ascii="Times New Roman" w:hAnsi="Times New Roman"/>
          <w:sz w:val="22"/>
          <w:szCs w:val="22"/>
        </w:rPr>
      </w:pPr>
    </w:p>
    <w:p w:rsidR="00710311" w:rsidRPr="002E6ABA" w:rsidRDefault="00E67534" w:rsidP="00710311">
      <w:pPr>
        <w:keepNext/>
        <w:rPr>
          <w:sz w:val="22"/>
          <w:szCs w:val="22"/>
        </w:rPr>
      </w:pPr>
      <w:r w:rsidRPr="00D516D1">
        <w:rPr>
          <w:b/>
          <w:bCs/>
        </w:rPr>
        <w:t>Academic Integrity</w:t>
      </w:r>
      <w:r w:rsidRPr="002E6ABA">
        <w:rPr>
          <w:b/>
          <w:bCs/>
          <w:sz w:val="22"/>
          <w:szCs w:val="22"/>
        </w:rPr>
        <w:t xml:space="preserve">. </w:t>
      </w:r>
      <w:r w:rsidR="00710311" w:rsidRPr="002E6ABA">
        <w:rPr>
          <w:sz w:val="22"/>
          <w:szCs w:val="22"/>
        </w:rPr>
        <w:t>All students enrolled in this course are expected to adhere to the UT Arlington Honor Code:</w:t>
      </w:r>
    </w:p>
    <w:p w:rsidR="00710311" w:rsidRPr="002E6ABA" w:rsidRDefault="00710311" w:rsidP="00710311">
      <w:pPr>
        <w:keepNext/>
        <w:rPr>
          <w:sz w:val="22"/>
          <w:szCs w:val="22"/>
        </w:rPr>
      </w:pPr>
    </w:p>
    <w:p w:rsidR="00710311" w:rsidRPr="002E6ABA" w:rsidRDefault="00710311" w:rsidP="00710311">
      <w:pPr>
        <w:pStyle w:val="Default"/>
        <w:spacing w:after="80"/>
        <w:ind w:right="-72"/>
        <w:jc w:val="both"/>
        <w:rPr>
          <w:i/>
          <w:sz w:val="22"/>
          <w:szCs w:val="22"/>
        </w:rPr>
      </w:pPr>
      <w:r w:rsidRPr="002E6ABA">
        <w:rPr>
          <w:i/>
          <w:sz w:val="22"/>
          <w:szCs w:val="22"/>
        </w:rPr>
        <w:t xml:space="preserve">I pledge, on my honor, to uphold UT Arlington’s tradition of academic integrity, a tradition that values hard work and honest effort in the pursuit of academic excellence. </w:t>
      </w:r>
    </w:p>
    <w:p w:rsidR="00710311" w:rsidRPr="002E6ABA" w:rsidRDefault="00710311" w:rsidP="00710311">
      <w:pPr>
        <w:pStyle w:val="Default"/>
        <w:spacing w:after="80"/>
        <w:ind w:right="-72"/>
        <w:jc w:val="both"/>
        <w:rPr>
          <w:i/>
          <w:sz w:val="22"/>
          <w:szCs w:val="22"/>
        </w:rPr>
      </w:pPr>
      <w:r w:rsidRPr="002E6ABA">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0311" w:rsidRPr="002E6ABA" w:rsidRDefault="00710311" w:rsidP="00710311">
      <w:pPr>
        <w:keepNext/>
        <w:rPr>
          <w:sz w:val="22"/>
          <w:szCs w:val="22"/>
        </w:rPr>
      </w:pPr>
    </w:p>
    <w:p w:rsidR="00710311" w:rsidRPr="002E6ABA" w:rsidRDefault="00710311" w:rsidP="00710311">
      <w:pPr>
        <w:keepNext/>
        <w:rPr>
          <w:sz w:val="22"/>
          <w:szCs w:val="22"/>
        </w:rPr>
      </w:pPr>
      <w:r w:rsidRPr="002E6ABA">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E6ABA">
        <w:rPr>
          <w:i/>
          <w:sz w:val="22"/>
          <w:szCs w:val="22"/>
        </w:rPr>
        <w:t>Regents’ Rule</w:t>
      </w:r>
      <w:r w:rsidRPr="002E6ABA">
        <w:rPr>
          <w:sz w:val="22"/>
          <w:szCs w:val="22"/>
        </w:rPr>
        <w:t xml:space="preserve"> 50101, §2.2, suspected violations of university’s standards for academic integrity (including the Honor Code) will be </w:t>
      </w:r>
      <w:r w:rsidRPr="002E6ABA">
        <w:rPr>
          <w:sz w:val="22"/>
          <w:szCs w:val="22"/>
        </w:rPr>
        <w:lastRenderedPageBreak/>
        <w:t>referred to the Office of Student Conduct. Violators will be disciplined in accordance with University policy, which may result in the student’s suspension or expulsion from the University.</w:t>
      </w:r>
    </w:p>
    <w:p w:rsidR="00415D8D" w:rsidRPr="002E6ABA" w:rsidRDefault="00415D8D" w:rsidP="00710311">
      <w:pPr>
        <w:keepNext/>
        <w:rPr>
          <w:sz w:val="22"/>
          <w:szCs w:val="22"/>
        </w:rPr>
      </w:pPr>
    </w:p>
    <w:p w:rsidR="00E67534" w:rsidRPr="002E6ABA" w:rsidRDefault="00E368C3" w:rsidP="00E67534">
      <w:pPr>
        <w:keepNext/>
        <w:rPr>
          <w:b/>
          <w:bCs/>
          <w:sz w:val="22"/>
          <w:szCs w:val="22"/>
        </w:rPr>
      </w:pPr>
      <w:r w:rsidRPr="002E6ABA">
        <w:rPr>
          <w:sz w:val="22"/>
          <w:szCs w:val="22"/>
        </w:rPr>
        <w:t xml:space="preserve"> I</w:t>
      </w:r>
      <w:r w:rsidR="00E67534" w:rsidRPr="002E6ABA">
        <w:rPr>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2E6ABA" w:rsidRDefault="00E67534" w:rsidP="00E67534">
      <w:pPr>
        <w:rPr>
          <w:sz w:val="22"/>
          <w:szCs w:val="22"/>
        </w:rPr>
      </w:pPr>
    </w:p>
    <w:p w:rsidR="00E67534" w:rsidRPr="002E6ABA" w:rsidRDefault="00E67534" w:rsidP="00E67534">
      <w:pPr>
        <w:rPr>
          <w:sz w:val="22"/>
          <w:szCs w:val="22"/>
        </w:rPr>
      </w:pPr>
      <w:r w:rsidRPr="002E6ABA">
        <w:rPr>
          <w:sz w:val="22"/>
          <w:szCs w:val="22"/>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807421" w:rsidRPr="002E6ABA" w:rsidRDefault="00807421" w:rsidP="00E67534">
      <w:pPr>
        <w:rPr>
          <w:sz w:val="22"/>
          <w:szCs w:val="22"/>
        </w:rPr>
      </w:pPr>
    </w:p>
    <w:p w:rsidR="00807421" w:rsidRPr="002E6ABA" w:rsidRDefault="00807421" w:rsidP="00807421">
      <w:pPr>
        <w:rPr>
          <w:sz w:val="22"/>
          <w:szCs w:val="22"/>
        </w:rPr>
      </w:pPr>
      <w:r w:rsidRPr="002E6ABA">
        <w:rPr>
          <w:sz w:val="22"/>
          <w:szCs w:val="22"/>
        </w:rPr>
        <w:t>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w:t>
      </w:r>
    </w:p>
    <w:p w:rsidR="00807421" w:rsidRPr="002E6ABA" w:rsidRDefault="00807421" w:rsidP="00E67534">
      <w:pPr>
        <w:rPr>
          <w:color w:val="FF0000"/>
          <w:sz w:val="22"/>
          <w:szCs w:val="22"/>
        </w:rPr>
      </w:pPr>
    </w:p>
    <w:p w:rsidR="00E67534" w:rsidRPr="002E6ABA" w:rsidRDefault="00E67534" w:rsidP="00E67534">
      <w:pPr>
        <w:rPr>
          <w:sz w:val="22"/>
          <w:szCs w:val="22"/>
        </w:rPr>
      </w:pPr>
    </w:p>
    <w:p w:rsidR="00E67534" w:rsidRPr="002E6ABA" w:rsidRDefault="00E67534" w:rsidP="00E67534">
      <w:pPr>
        <w:pStyle w:val="NormalWeb"/>
        <w:spacing w:before="0" w:beforeAutospacing="0" w:after="0" w:afterAutospacing="0"/>
        <w:rPr>
          <w:b/>
          <w:bCs/>
          <w:sz w:val="22"/>
          <w:szCs w:val="22"/>
        </w:rPr>
      </w:pPr>
      <w:r w:rsidRPr="00D516D1">
        <w:rPr>
          <w:b/>
          <w:bCs/>
        </w:rPr>
        <w:t xml:space="preserve">Americans with Disabilities Act. </w:t>
      </w:r>
      <w:r w:rsidRPr="002E6ABA">
        <w:rPr>
          <w:sz w:val="22"/>
          <w:szCs w:val="22"/>
        </w:rPr>
        <w:t xml:space="preserve">The University of Texas at Arlington is on record as being committed to both the spirit and letter of all federal equal opportunity legislation, including the </w:t>
      </w:r>
      <w:r w:rsidRPr="002E6ABA">
        <w:rPr>
          <w:i/>
          <w:iCs/>
          <w:sz w:val="22"/>
          <w:szCs w:val="22"/>
        </w:rPr>
        <w:t>Americans with Disabilities Act (ADA)</w:t>
      </w:r>
      <w:r w:rsidRPr="002E6AB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2E6ABA">
          <w:rPr>
            <w:rStyle w:val="Hyperlink"/>
            <w:rFonts w:eastAsiaTheme="majorEastAsia"/>
            <w:sz w:val="22"/>
            <w:szCs w:val="22"/>
          </w:rPr>
          <w:t>www.uta.edu/disability</w:t>
        </w:r>
      </w:hyperlink>
      <w:r w:rsidRPr="002E6ABA">
        <w:rPr>
          <w:sz w:val="22"/>
          <w:szCs w:val="22"/>
        </w:rPr>
        <w:t xml:space="preserve"> or by calling the Office for Students with Disabilities at (817) 272-3364.</w:t>
      </w:r>
    </w:p>
    <w:p w:rsidR="00E67534" w:rsidRPr="002E6ABA" w:rsidRDefault="00E67534" w:rsidP="00E67534">
      <w:pPr>
        <w:pStyle w:val="BodyText"/>
        <w:tabs>
          <w:tab w:val="clear" w:pos="360"/>
          <w:tab w:val="num" w:pos="720"/>
          <w:tab w:val="left" w:pos="1260"/>
        </w:tabs>
        <w:jc w:val="left"/>
        <w:rPr>
          <w:rFonts w:ascii="Times New Roman" w:hAnsi="Times New Roman"/>
          <w:sz w:val="22"/>
          <w:szCs w:val="22"/>
        </w:rPr>
      </w:pPr>
    </w:p>
    <w:p w:rsidR="00E67534" w:rsidRPr="002E6ABA" w:rsidRDefault="00E67534" w:rsidP="00E67534">
      <w:pPr>
        <w:pStyle w:val="Heading3"/>
        <w:spacing w:before="0"/>
        <w:rPr>
          <w:rFonts w:ascii="Times New Roman" w:hAnsi="Times New Roman" w:cs="Times New Roman"/>
          <w:color w:val="auto"/>
          <w:szCs w:val="22"/>
        </w:rPr>
      </w:pPr>
      <w:r w:rsidRPr="00D516D1">
        <w:rPr>
          <w:rFonts w:ascii="Times New Roman" w:hAnsi="Times New Roman" w:cs="Times New Roman"/>
          <w:color w:val="auto"/>
          <w:sz w:val="24"/>
          <w:szCs w:val="24"/>
        </w:rPr>
        <w:t>Drop Policy</w:t>
      </w:r>
      <w:r w:rsidRPr="002E6ABA">
        <w:rPr>
          <w:rFonts w:ascii="Times New Roman" w:hAnsi="Times New Roman" w:cs="Times New Roman"/>
          <w:color w:val="auto"/>
          <w:szCs w:val="22"/>
        </w:rPr>
        <w:t xml:space="preserve">. </w:t>
      </w:r>
      <w:r w:rsidRPr="002E6ABA">
        <w:rPr>
          <w:rFonts w:ascii="Times New Roman" w:hAnsi="Times New Roman" w:cs="Times New Roman"/>
          <w:b w:val="0"/>
          <w:color w:val="auto"/>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E6ABA">
        <w:rPr>
          <w:rStyle w:val="Strong"/>
          <w:rFonts w:ascii="Times New Roman" w:eastAsia="Calibri" w:hAnsi="Times New Roman" w:cs="Times New Roman"/>
          <w:color w:val="auto"/>
          <w:szCs w:val="22"/>
        </w:rPr>
        <w:t>Students will not be automatically dropped for non-attendance</w:t>
      </w:r>
      <w:r w:rsidRPr="002E6ABA">
        <w:rPr>
          <w:rFonts w:ascii="Times New Roman" w:hAnsi="Times New Roman" w:cs="Times New Roman"/>
          <w:b w:val="0"/>
          <w:color w:val="auto"/>
          <w:szCs w:val="22"/>
        </w:rPr>
        <w:t>. Repayment of certain types of financial aid administered through the University may be required as the result of dropping classes or withdrawing. Contact the Financial Aid Office for more information.</w:t>
      </w:r>
    </w:p>
    <w:p w:rsidR="00E67534" w:rsidRPr="002E6ABA" w:rsidRDefault="00E67534" w:rsidP="00E67534">
      <w:pPr>
        <w:pStyle w:val="BodyText"/>
        <w:rPr>
          <w:rFonts w:ascii="Times New Roman" w:hAnsi="Times New Roman"/>
          <w:sz w:val="22"/>
          <w:szCs w:val="22"/>
        </w:rPr>
      </w:pPr>
    </w:p>
    <w:p w:rsidR="006E52AC" w:rsidRPr="002E6ABA" w:rsidRDefault="006E52AC" w:rsidP="006E52AC">
      <w:pPr>
        <w:pStyle w:val="PlainText"/>
        <w:rPr>
          <w:rFonts w:ascii="Times New Roman" w:hAnsi="Times New Roman"/>
          <w:b/>
          <w:sz w:val="22"/>
          <w:szCs w:val="22"/>
        </w:rPr>
      </w:pPr>
      <w:r w:rsidRPr="00D516D1">
        <w:rPr>
          <w:rFonts w:ascii="Times New Roman" w:hAnsi="Times New Roman"/>
          <w:b/>
          <w:sz w:val="24"/>
          <w:szCs w:val="24"/>
        </w:rPr>
        <w:t>Writing Center.</w:t>
      </w:r>
      <w:r w:rsidR="003842A7" w:rsidRPr="002E6ABA">
        <w:rPr>
          <w:rFonts w:ascii="Times New Roman" w:hAnsi="Times New Roman"/>
          <w:b/>
          <w:sz w:val="22"/>
          <w:szCs w:val="22"/>
        </w:rPr>
        <w:t xml:space="preserve"> </w:t>
      </w:r>
      <w:r w:rsidRPr="002E6ABA">
        <w:rPr>
          <w:rFonts w:ascii="Times New Roman" w:hAnsi="Times New Roman"/>
          <w:sz w:val="22"/>
          <w:szCs w:val="22"/>
        </w:rPr>
        <w:t xml:space="preserve">The Writing Center, Room 411 in the Central Library, offers tutoring for any writing you are assigned while a student at UT-Arlington. During </w:t>
      </w:r>
      <w:r w:rsidR="007629BA">
        <w:rPr>
          <w:rFonts w:ascii="Times New Roman" w:hAnsi="Times New Roman"/>
          <w:sz w:val="22"/>
          <w:szCs w:val="22"/>
        </w:rPr>
        <w:t>Spring 2014</w:t>
      </w:r>
      <w:r w:rsidRPr="002E6ABA">
        <w:rPr>
          <w:rFonts w:ascii="Times New Roman" w:hAnsi="Times New Roman"/>
          <w:sz w:val="22"/>
          <w:szCs w:val="22"/>
        </w:rPr>
        <w:t>, Writing Center hours are 9 a.m. to 7 p.m., Monday through Thursday; 9 a.m. to 2 p.m., Friday; and</w:t>
      </w:r>
      <w:r w:rsidR="005235F5" w:rsidRPr="002E6ABA">
        <w:rPr>
          <w:rFonts w:ascii="Times New Roman" w:hAnsi="Times New Roman"/>
          <w:sz w:val="22"/>
          <w:szCs w:val="22"/>
        </w:rPr>
        <w:t xml:space="preserve"> 2 p.m. to 6 p.m. </w:t>
      </w:r>
      <w:r w:rsidRPr="002E6ABA">
        <w:rPr>
          <w:rFonts w:ascii="Times New Roman" w:hAnsi="Times New Roman"/>
          <w:sz w:val="22"/>
          <w:szCs w:val="22"/>
        </w:rPr>
        <w:t xml:space="preserve">Sunday. You may </w:t>
      </w:r>
      <w:r w:rsidRPr="002E6ABA">
        <w:rPr>
          <w:rFonts w:ascii="Times New Roman" w:hAnsi="Times New Roman"/>
          <w:sz w:val="22"/>
          <w:szCs w:val="22"/>
        </w:rPr>
        <w:lastRenderedPageBreak/>
        <w:t>register and schedule appointmen</w:t>
      </w:r>
      <w:r w:rsidR="005235F5" w:rsidRPr="002E6ABA">
        <w:rPr>
          <w:rFonts w:ascii="Times New Roman" w:hAnsi="Times New Roman"/>
          <w:sz w:val="22"/>
          <w:szCs w:val="22"/>
        </w:rPr>
        <w:t>ts online at uta.mywconline.com</w:t>
      </w:r>
      <w:r w:rsidRPr="002E6ABA">
        <w:rPr>
          <w:rFonts w:ascii="Times New Roman" w:hAnsi="Times New Roman"/>
          <w:sz w:val="22"/>
          <w:szCs w:val="22"/>
        </w:rPr>
        <w:t xml:space="preserve"> or by visiting the Writing Center. </w:t>
      </w:r>
      <w:r w:rsidR="005235F5" w:rsidRPr="002E6ABA">
        <w:rPr>
          <w:rFonts w:ascii="Times New Roman" w:hAnsi="Times New Roman"/>
          <w:sz w:val="22"/>
          <w:szCs w:val="22"/>
        </w:rPr>
        <w:t xml:space="preserve">If you need assistance with registration, please call 817-272-2601. </w:t>
      </w:r>
      <w:r w:rsidRPr="002E6ABA">
        <w:rPr>
          <w:rFonts w:ascii="Times New Roman" w:hAnsi="Times New Roman"/>
          <w:sz w:val="22"/>
          <w:szCs w:val="22"/>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6E52AC" w:rsidRPr="002E6ABA" w:rsidRDefault="006E52AC" w:rsidP="006E52AC">
      <w:pPr>
        <w:pStyle w:val="PlainText"/>
        <w:rPr>
          <w:rFonts w:ascii="Times New Roman" w:hAnsi="Times New Roman"/>
          <w:sz w:val="22"/>
          <w:szCs w:val="22"/>
        </w:rPr>
      </w:pPr>
    </w:p>
    <w:p w:rsidR="006E52AC" w:rsidRPr="002E6ABA" w:rsidRDefault="006E52AC" w:rsidP="006E52AC">
      <w:pPr>
        <w:pStyle w:val="PlainText"/>
        <w:rPr>
          <w:rFonts w:ascii="Times New Roman" w:hAnsi="Times New Roman"/>
          <w:sz w:val="22"/>
          <w:szCs w:val="22"/>
        </w:rPr>
      </w:pPr>
      <w:r w:rsidRPr="002E6ABA">
        <w:rPr>
          <w:rFonts w:ascii="Times New Roman" w:hAnsi="Times New Roman"/>
          <w:sz w:val="22"/>
          <w:szCs w:val="22"/>
        </w:rPr>
        <w:t xml:space="preserve">In addition to one-on-one consultations, the Writing Center will offer </w:t>
      </w:r>
      <w:r w:rsidR="00FB7F53" w:rsidRPr="002E6ABA">
        <w:rPr>
          <w:rFonts w:ascii="Times New Roman" w:hAnsi="Times New Roman"/>
          <w:sz w:val="22"/>
          <w:szCs w:val="22"/>
        </w:rPr>
        <w:t xml:space="preserve">FYC and </w:t>
      </w:r>
      <w:r w:rsidRPr="002E6ABA">
        <w:rPr>
          <w:rFonts w:ascii="Times New Roman" w:hAnsi="Times New Roman"/>
          <w:sz w:val="22"/>
          <w:szCs w:val="22"/>
        </w:rPr>
        <w:t xml:space="preserve">grammar workshops periodically throughout the semester. For more information on these, please visit us at </w:t>
      </w:r>
      <w:hyperlink r:id="rId10" w:history="1">
        <w:r w:rsidRPr="002E6ABA">
          <w:rPr>
            <w:rStyle w:val="Hyperlink"/>
            <w:rFonts w:ascii="Times New Roman" w:hAnsi="Times New Roman"/>
            <w:sz w:val="22"/>
            <w:szCs w:val="22"/>
          </w:rPr>
          <w:t>http://www.uta.edu/owl</w:t>
        </w:r>
      </w:hyperlink>
      <w:r w:rsidRPr="002E6ABA">
        <w:rPr>
          <w:rFonts w:ascii="Times New Roman" w:hAnsi="Times New Roman"/>
          <w:sz w:val="22"/>
          <w:szCs w:val="22"/>
        </w:rPr>
        <w:t>.</w:t>
      </w:r>
    </w:p>
    <w:p w:rsidR="00E67534" w:rsidRPr="002E6ABA" w:rsidRDefault="00E67534"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B7F53" w:rsidRPr="002E6ABA"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F312F" w:rsidRPr="002E6ABA" w:rsidRDefault="009F312F" w:rsidP="009F312F">
      <w:pPr>
        <w:pStyle w:val="Heading1"/>
        <w:spacing w:before="0"/>
        <w:rPr>
          <w:rFonts w:ascii="Times New Roman" w:eastAsia="Times New Roman" w:hAnsi="Times New Roman" w:cs="Times New Roman"/>
          <w:sz w:val="22"/>
          <w:szCs w:val="22"/>
        </w:rPr>
      </w:pPr>
      <w:r w:rsidRPr="00D516D1">
        <w:rPr>
          <w:rFonts w:ascii="Times New Roman" w:eastAsia="Times New Roman" w:hAnsi="Times New Roman" w:cs="Times New Roman"/>
          <w:color w:val="auto"/>
          <w:sz w:val="24"/>
          <w:szCs w:val="24"/>
        </w:rPr>
        <w:t>Library Research Help for Students in the First-Year English Program.</w:t>
      </w:r>
      <w:r w:rsidRPr="002E6ABA">
        <w:rPr>
          <w:rFonts w:ascii="Times New Roman" w:eastAsia="Times New Roman" w:hAnsi="Times New Roman" w:cs="Times New Roman"/>
          <w:color w:val="auto"/>
          <w:sz w:val="22"/>
          <w:szCs w:val="22"/>
        </w:rPr>
        <w:t xml:space="preserve"> </w:t>
      </w:r>
      <w:r w:rsidRPr="002E6ABA">
        <w:rPr>
          <w:rFonts w:ascii="Times New Roman" w:eastAsia="Times New Roman" w:hAnsi="Times New Roman" w:cs="Times New Roman"/>
          <w:b w:val="0"/>
          <w:bCs w:val="0"/>
          <w:color w:val="auto"/>
          <w:sz w:val="22"/>
          <w:szCs w:val="22"/>
        </w:rPr>
        <w:t>UT Arlington Library offers many ways for students to receive help with writing assignments:</w:t>
      </w:r>
    </w:p>
    <w:p w:rsidR="009F312F" w:rsidRPr="002E6ABA" w:rsidRDefault="00E368C3" w:rsidP="00201C13">
      <w:pPr>
        <w:pStyle w:val="Heading3"/>
        <w:numPr>
          <w:ilvl w:val="0"/>
          <w:numId w:val="5"/>
        </w:numPr>
        <w:spacing w:before="0"/>
        <w:rPr>
          <w:rFonts w:ascii="Times New Roman" w:eastAsia="Times New Roman" w:hAnsi="Times New Roman" w:cs="Times New Roman"/>
          <w:b w:val="0"/>
          <w:bCs w:val="0"/>
          <w:i/>
          <w:iCs/>
          <w:color w:val="FF0000"/>
          <w:szCs w:val="22"/>
        </w:rPr>
      </w:pPr>
      <w:r w:rsidRPr="002E6ABA">
        <w:rPr>
          <w:rFonts w:ascii="Times New Roman" w:eastAsia="Times New Roman" w:hAnsi="Times New Roman" w:cs="Times New Roman"/>
          <w:b w:val="0"/>
          <w:bCs w:val="0"/>
          <w:i/>
          <w:iCs/>
          <w:color w:val="auto"/>
          <w:szCs w:val="22"/>
        </w:rPr>
        <w:t xml:space="preserve">Research Librarians: </w:t>
      </w:r>
      <w:r w:rsidRPr="002E6ABA">
        <w:rPr>
          <w:rFonts w:ascii="Times New Roman" w:eastAsia="Times New Roman" w:hAnsi="Times New Roman" w:cs="Times New Roman"/>
          <w:b w:val="0"/>
          <w:bCs w:val="0"/>
          <w:iCs/>
          <w:color w:val="auto"/>
          <w:szCs w:val="22"/>
        </w:rPr>
        <w:t xml:space="preserve">Second floor of Central Library </w:t>
      </w:r>
    </w:p>
    <w:p w:rsidR="009F312F" w:rsidRPr="002E6ABA" w:rsidRDefault="009F312F" w:rsidP="00201C13">
      <w:pPr>
        <w:pStyle w:val="Heading3"/>
        <w:numPr>
          <w:ilvl w:val="0"/>
          <w:numId w:val="5"/>
        </w:numPr>
        <w:spacing w:before="0"/>
        <w:rPr>
          <w:rFonts w:ascii="Times New Roman" w:eastAsia="Times New Roman" w:hAnsi="Times New Roman" w:cs="Times New Roman"/>
          <w:b w:val="0"/>
          <w:bCs w:val="0"/>
          <w:i/>
          <w:iCs/>
          <w:color w:val="auto"/>
          <w:szCs w:val="22"/>
        </w:rPr>
      </w:pPr>
      <w:r w:rsidRPr="002E6ABA">
        <w:rPr>
          <w:rFonts w:ascii="Times New Roman" w:eastAsia="Times New Roman" w:hAnsi="Times New Roman" w:cs="Times New Roman"/>
          <w:b w:val="0"/>
          <w:bCs w:val="0"/>
          <w:i/>
          <w:iCs/>
          <w:color w:val="auto"/>
          <w:szCs w:val="22"/>
        </w:rPr>
        <w:t xml:space="preserve">Course-Specific Guides. </w:t>
      </w:r>
      <w:r w:rsidRPr="002E6ABA">
        <w:rPr>
          <w:rFonts w:ascii="Times New Roman" w:eastAsia="Times New Roman" w:hAnsi="Times New Roman" w:cs="Times New Roman"/>
          <w:b w:val="0"/>
          <w:bCs w:val="0"/>
          <w:color w:val="auto"/>
          <w:szCs w:val="22"/>
        </w:rPr>
        <w:t xml:space="preserve">All First-Year English courses have access to research guides that assist students with required research. To access the guides go to </w:t>
      </w:r>
      <w:hyperlink r:id="rId11" w:history="1">
        <w:r w:rsidRPr="002E6ABA">
          <w:rPr>
            <w:rStyle w:val="Hyperlink"/>
            <w:rFonts w:ascii="Times New Roman" w:eastAsia="Times New Roman" w:hAnsi="Times New Roman" w:cs="Times New Roman"/>
            <w:b w:val="0"/>
            <w:bCs w:val="0"/>
            <w:szCs w:val="22"/>
          </w:rPr>
          <w:t>http://libguides.uta.edu</w:t>
        </w:r>
      </w:hyperlink>
      <w:r w:rsidRPr="002E6ABA">
        <w:rPr>
          <w:rFonts w:ascii="Times New Roman" w:eastAsia="Times New Roman" w:hAnsi="Times New Roman" w:cs="Times New Roman"/>
          <w:b w:val="0"/>
          <w:bCs w:val="0"/>
          <w:color w:val="auto"/>
          <w:szCs w:val="22"/>
        </w:rPr>
        <w:t>. Search for the course number in the search box located at the top of the page. The research guides direct students to useful databases, as well as provide information about citation, developing a topic/thesis, and receiving help.</w:t>
      </w:r>
    </w:p>
    <w:p w:rsidR="00E67534" w:rsidRPr="002E6ABA" w:rsidRDefault="00E67534" w:rsidP="00E67534">
      <w:pPr>
        <w:rPr>
          <w:sz w:val="22"/>
          <w:szCs w:val="22"/>
        </w:rPr>
      </w:pPr>
    </w:p>
    <w:p w:rsidR="00415D8D" w:rsidRPr="002E6ABA" w:rsidRDefault="00415D8D" w:rsidP="00415D8D">
      <w:pPr>
        <w:rPr>
          <w:sz w:val="22"/>
          <w:szCs w:val="22"/>
        </w:rPr>
      </w:pPr>
      <w:r w:rsidRPr="00D516D1">
        <w:rPr>
          <w:b/>
          <w:bCs/>
        </w:rPr>
        <w:t>Student Support Services</w:t>
      </w:r>
      <w:r w:rsidRPr="002E6ABA">
        <w:rPr>
          <w:sz w:val="22"/>
          <w:szCs w:val="22"/>
        </w:rPr>
        <w:t>:</w:t>
      </w:r>
      <w:r w:rsidRPr="002E6ABA">
        <w:rPr>
          <w:b/>
          <w:bCs/>
          <w:sz w:val="22"/>
          <w:szCs w:val="22"/>
        </w:rPr>
        <w:t xml:space="preserve"> </w:t>
      </w:r>
      <w:r w:rsidRPr="002E6ABA">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2E6ABA">
          <w:rPr>
            <w:rStyle w:val="Hyperlink"/>
            <w:sz w:val="22"/>
            <w:szCs w:val="22"/>
          </w:rPr>
          <w:t>resources@uta.edu</w:t>
        </w:r>
      </w:hyperlink>
      <w:r w:rsidRPr="002E6ABA">
        <w:rPr>
          <w:sz w:val="22"/>
          <w:szCs w:val="22"/>
        </w:rPr>
        <w:t xml:space="preserve">, or view the information at </w:t>
      </w:r>
      <w:hyperlink r:id="rId13" w:history="1">
        <w:r w:rsidRPr="002E6ABA">
          <w:rPr>
            <w:rStyle w:val="Hyperlink"/>
            <w:sz w:val="22"/>
            <w:szCs w:val="22"/>
          </w:rPr>
          <w:t>www.uta.edu/resources</w:t>
        </w:r>
      </w:hyperlink>
      <w:r w:rsidRPr="002E6ABA">
        <w:rPr>
          <w:sz w:val="22"/>
          <w:szCs w:val="22"/>
        </w:rPr>
        <w:t>.</w:t>
      </w:r>
    </w:p>
    <w:p w:rsidR="00415D8D" w:rsidRPr="002E6ABA" w:rsidRDefault="00415D8D" w:rsidP="00E67534">
      <w:pPr>
        <w:rPr>
          <w:sz w:val="22"/>
          <w:szCs w:val="22"/>
        </w:rPr>
      </w:pPr>
    </w:p>
    <w:p w:rsidR="00415D8D" w:rsidRPr="002E6ABA" w:rsidRDefault="00415D8D" w:rsidP="00415D8D">
      <w:pPr>
        <w:autoSpaceDE w:val="0"/>
        <w:autoSpaceDN w:val="0"/>
        <w:adjustRightInd w:val="0"/>
        <w:rPr>
          <w:sz w:val="22"/>
          <w:szCs w:val="22"/>
        </w:rPr>
      </w:pPr>
      <w:r w:rsidRPr="00D516D1">
        <w:rPr>
          <w:b/>
        </w:rPr>
        <w:t>Student Feedback Survey</w:t>
      </w:r>
      <w:r w:rsidRPr="002E6ABA">
        <w:rPr>
          <w:b/>
          <w:sz w:val="22"/>
          <w:szCs w:val="22"/>
        </w:rPr>
        <w:t xml:space="preserve">: </w:t>
      </w:r>
      <w:r w:rsidRPr="002E6ABA">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2E6ABA">
          <w:rPr>
            <w:rStyle w:val="Hyperlink"/>
            <w:bCs/>
            <w:sz w:val="22"/>
            <w:szCs w:val="22"/>
          </w:rPr>
          <w:t>http://www.uta.edu/sfs</w:t>
        </w:r>
      </w:hyperlink>
      <w:r w:rsidRPr="002E6ABA">
        <w:rPr>
          <w:bCs/>
          <w:sz w:val="22"/>
          <w:szCs w:val="22"/>
        </w:rPr>
        <w:t>.</w:t>
      </w:r>
    </w:p>
    <w:p w:rsidR="00E67534" w:rsidRPr="002E6ABA" w:rsidRDefault="00E67534" w:rsidP="00E67534">
      <w:pPr>
        <w:rPr>
          <w:sz w:val="22"/>
          <w:szCs w:val="22"/>
        </w:rPr>
      </w:pPr>
    </w:p>
    <w:p w:rsidR="00E67534" w:rsidRPr="002E6ABA" w:rsidRDefault="00E67534" w:rsidP="00E67534">
      <w:pPr>
        <w:rPr>
          <w:sz w:val="22"/>
          <w:szCs w:val="22"/>
        </w:rPr>
      </w:pPr>
      <w:r w:rsidRPr="00D516D1">
        <w:rPr>
          <w:b/>
        </w:rPr>
        <w:t>Electronic Communication Policy</w:t>
      </w:r>
      <w:r w:rsidRPr="002E6ABA">
        <w:rPr>
          <w:b/>
          <w:sz w:val="22"/>
          <w:szCs w:val="22"/>
        </w:rPr>
        <w:t xml:space="preserve">. </w:t>
      </w:r>
      <w:r w:rsidRPr="002E6ABA">
        <w:rPr>
          <w:sz w:val="22"/>
          <w:szCs w:val="22"/>
        </w:rPr>
        <w:t xml:space="preserve">All students must have access to a computer with internet capabilities. Students should check email daily for course information and updates. I will send group emails through </w:t>
      </w:r>
      <w:r w:rsidR="00CD600D" w:rsidRPr="002E6ABA">
        <w:rPr>
          <w:sz w:val="22"/>
          <w:szCs w:val="22"/>
        </w:rPr>
        <w:t>Blackboard.</w:t>
      </w:r>
      <w:r w:rsidRPr="002E6ABA">
        <w:rPr>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2E6ABA" w:rsidRDefault="00E67534" w:rsidP="00E67534">
      <w:pPr>
        <w:rPr>
          <w:sz w:val="22"/>
          <w:szCs w:val="22"/>
        </w:rPr>
      </w:pPr>
    </w:p>
    <w:p w:rsidR="00E67534" w:rsidRPr="002E6ABA" w:rsidRDefault="00E67534" w:rsidP="00E67534">
      <w:pPr>
        <w:rPr>
          <w:b/>
          <w:sz w:val="22"/>
          <w:szCs w:val="22"/>
        </w:rPr>
      </w:pPr>
      <w:r w:rsidRPr="002E6ABA">
        <w:rPr>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w:t>
      </w:r>
      <w:r w:rsidRPr="002E6ABA">
        <w:rPr>
          <w:sz w:val="22"/>
          <w:szCs w:val="22"/>
        </w:rPr>
        <w:lastRenderedPageBreak/>
        <w:t xml:space="preserve">bills, and graduation are now sent to students through the MavMail system. All students are assigned a MavMail account. </w:t>
      </w:r>
      <w:r w:rsidRPr="002E6ABA">
        <w:rPr>
          <w:b/>
          <w:i/>
          <w:sz w:val="22"/>
          <w:szCs w:val="22"/>
        </w:rPr>
        <w:t>Students are responsible for checking their MavMail regularly.</w:t>
      </w:r>
      <w:r w:rsidRPr="002E6ABA">
        <w:rPr>
          <w:sz w:val="22"/>
          <w:szCs w:val="22"/>
        </w:rPr>
        <w:t xml:space="preserve"> Information about activating and using MavMail is available at </w:t>
      </w:r>
      <w:hyperlink r:id="rId15" w:history="1">
        <w:r w:rsidRPr="002E6ABA">
          <w:rPr>
            <w:rStyle w:val="Hyperlink"/>
            <w:rFonts w:eastAsiaTheme="majorEastAsia"/>
            <w:sz w:val="22"/>
            <w:szCs w:val="22"/>
          </w:rPr>
          <w:t>http://www.uta.edu/oit/email/</w:t>
        </w:r>
      </w:hyperlink>
      <w:r w:rsidRPr="002E6ABA">
        <w:rPr>
          <w:sz w:val="22"/>
          <w:szCs w:val="22"/>
        </w:rPr>
        <w:t>. There is no additional charge to students for using this account, and it remains active even after they graduate from UT Arlington.</w:t>
      </w:r>
    </w:p>
    <w:p w:rsidR="00E67534" w:rsidRPr="002E6ABA" w:rsidRDefault="00E67534" w:rsidP="00E67534">
      <w:pPr>
        <w:rPr>
          <w:sz w:val="22"/>
          <w:szCs w:val="22"/>
        </w:rPr>
      </w:pPr>
    </w:p>
    <w:p w:rsidR="00E67534" w:rsidRPr="002E6ABA" w:rsidRDefault="00E67534" w:rsidP="00E67534">
      <w:pPr>
        <w:rPr>
          <w:sz w:val="22"/>
          <w:szCs w:val="22"/>
        </w:rPr>
      </w:pPr>
    </w:p>
    <w:p w:rsidR="00E67534" w:rsidRPr="002E6ABA" w:rsidRDefault="00E67534" w:rsidP="00E67534">
      <w:pPr>
        <w:pStyle w:val="BodyText"/>
        <w:jc w:val="left"/>
        <w:rPr>
          <w:rFonts w:ascii="Times New Roman" w:hAnsi="Times New Roman"/>
          <w:i/>
          <w:sz w:val="22"/>
          <w:szCs w:val="22"/>
        </w:rPr>
      </w:pPr>
      <w:r w:rsidRPr="002E6ABA">
        <w:rPr>
          <w:rFonts w:ascii="Times New Roman" w:hAnsi="Times New Roman"/>
          <w:i/>
          <w:sz w:val="22"/>
          <w:szCs w:val="22"/>
        </w:rPr>
        <w:t xml:space="preserve">Syllabus and Schedule Changes. Instructors try to make their syllabuses as complete as possible; however, during the course of the semester </w:t>
      </w:r>
      <w:r w:rsidR="00EC74BB" w:rsidRPr="002E6ABA">
        <w:rPr>
          <w:rFonts w:ascii="Times New Roman" w:hAnsi="Times New Roman"/>
          <w:i/>
          <w:sz w:val="22"/>
          <w:szCs w:val="22"/>
        </w:rPr>
        <w:t xml:space="preserve">I </w:t>
      </w:r>
      <w:r w:rsidRPr="002E6ABA">
        <w:rPr>
          <w:rFonts w:ascii="Times New Roman" w:hAnsi="Times New Roman"/>
          <w:i/>
          <w:sz w:val="22"/>
          <w:szCs w:val="22"/>
        </w:rPr>
        <w:t xml:space="preserve">may be required to alter, add, or abandon certain policies/assignments.  Instructors reserve the right to make such changes as they become necessary.  Students will be informed of any </w:t>
      </w:r>
      <w:r w:rsidR="00EC74BB" w:rsidRPr="002E6ABA">
        <w:rPr>
          <w:rFonts w:ascii="Times New Roman" w:hAnsi="Times New Roman"/>
          <w:i/>
          <w:sz w:val="22"/>
          <w:szCs w:val="22"/>
        </w:rPr>
        <w:t xml:space="preserve">major </w:t>
      </w:r>
      <w:r w:rsidRPr="002E6ABA">
        <w:rPr>
          <w:rFonts w:ascii="Times New Roman" w:hAnsi="Times New Roman"/>
          <w:i/>
          <w:sz w:val="22"/>
          <w:szCs w:val="22"/>
        </w:rPr>
        <w:t>changes in writing.</w:t>
      </w:r>
    </w:p>
    <w:p w:rsidR="00517537" w:rsidRPr="002E6ABA" w:rsidRDefault="00517537" w:rsidP="00E67534">
      <w:pPr>
        <w:pStyle w:val="BodyText"/>
        <w:jc w:val="left"/>
        <w:rPr>
          <w:rFonts w:ascii="Times New Roman" w:hAnsi="Times New Roman"/>
          <w:b/>
          <w:sz w:val="22"/>
          <w:szCs w:val="22"/>
        </w:rPr>
      </w:pPr>
    </w:p>
    <w:p w:rsidR="002D03BA" w:rsidRPr="002E6ABA" w:rsidRDefault="002D03BA" w:rsidP="00002243">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4518"/>
        <w:gridCol w:w="4320"/>
      </w:tblGrid>
      <w:tr w:rsidR="00CD600D" w:rsidRPr="002E6ABA">
        <w:tc>
          <w:tcPr>
            <w:tcW w:w="8838" w:type="dxa"/>
            <w:gridSpan w:val="2"/>
          </w:tcPr>
          <w:p w:rsidR="00CD600D" w:rsidRPr="002E6ABA" w:rsidRDefault="00CD600D" w:rsidP="00630475">
            <w:pPr>
              <w:pStyle w:val="NormalWeb"/>
              <w:spacing w:before="0" w:beforeAutospacing="0" w:after="0" w:afterAutospacing="0"/>
              <w:jc w:val="center"/>
              <w:rPr>
                <w:b/>
                <w:sz w:val="22"/>
                <w:szCs w:val="22"/>
              </w:rPr>
            </w:pPr>
            <w:r w:rsidRPr="002E6ABA">
              <w:rPr>
                <w:b/>
                <w:sz w:val="22"/>
                <w:szCs w:val="22"/>
              </w:rPr>
              <w:t>Syllabus Abbreviations</w:t>
            </w: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TSIS</w:t>
            </w:r>
            <w:r w:rsidRPr="002E6ABA">
              <w:rPr>
                <w:sz w:val="22"/>
                <w:szCs w:val="22"/>
              </w:rPr>
              <w:t xml:space="preserve">: </w:t>
            </w:r>
            <w:r w:rsidRPr="002E6ABA">
              <w:rPr>
                <w:i/>
                <w:sz w:val="22"/>
                <w:szCs w:val="22"/>
              </w:rPr>
              <w:t>They Say/I Say</w:t>
            </w:r>
          </w:p>
        </w:tc>
        <w:tc>
          <w:tcPr>
            <w:tcW w:w="4320" w:type="dxa"/>
          </w:tcPr>
          <w:p w:rsidR="00604306" w:rsidRPr="002E6ABA" w:rsidRDefault="00604306" w:rsidP="00002243">
            <w:pPr>
              <w:pStyle w:val="NormalWeb"/>
              <w:spacing w:before="0" w:beforeAutospacing="0" w:after="0" w:afterAutospacing="0"/>
              <w:rPr>
                <w:sz w:val="22"/>
                <w:szCs w:val="22"/>
              </w:rPr>
            </w:pP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SFW</w:t>
            </w:r>
            <w:r w:rsidRPr="002E6ABA">
              <w:rPr>
                <w:sz w:val="22"/>
                <w:szCs w:val="22"/>
              </w:rPr>
              <w:t xml:space="preserve">: </w:t>
            </w:r>
            <w:r w:rsidR="00630475" w:rsidRPr="002E6ABA">
              <w:rPr>
                <w:i/>
                <w:sz w:val="22"/>
                <w:szCs w:val="22"/>
              </w:rPr>
              <w:t xml:space="preserve">The </w:t>
            </w:r>
            <w:r w:rsidRPr="002E6ABA">
              <w:rPr>
                <w:i/>
                <w:sz w:val="22"/>
                <w:szCs w:val="22"/>
              </w:rPr>
              <w:t>Scott, Foresman Writer</w:t>
            </w:r>
          </w:p>
        </w:tc>
        <w:tc>
          <w:tcPr>
            <w:tcW w:w="4320" w:type="dxa"/>
          </w:tcPr>
          <w:p w:rsidR="00604306" w:rsidRPr="002E6ABA" w:rsidRDefault="00604306" w:rsidP="004D75B9">
            <w:pPr>
              <w:pStyle w:val="NormalWeb"/>
              <w:spacing w:before="0" w:beforeAutospacing="0" w:after="0" w:afterAutospacing="0"/>
              <w:rPr>
                <w:sz w:val="22"/>
                <w:szCs w:val="22"/>
              </w:rPr>
            </w:pP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FYW</w:t>
            </w:r>
            <w:r w:rsidRPr="002E6ABA">
              <w:rPr>
                <w:sz w:val="22"/>
                <w:szCs w:val="22"/>
              </w:rPr>
              <w:t>: First-Year Writing</w:t>
            </w:r>
            <w:r w:rsidR="00630475" w:rsidRPr="002E6ABA">
              <w:rPr>
                <w:sz w:val="22"/>
                <w:szCs w:val="22"/>
              </w:rPr>
              <w:t>: Perspectives on Argument</w:t>
            </w:r>
          </w:p>
          <w:p w:rsidR="006A4005" w:rsidRPr="002E6ABA" w:rsidRDefault="006A4005" w:rsidP="00002243">
            <w:pPr>
              <w:pStyle w:val="NormalWeb"/>
              <w:spacing w:before="0" w:beforeAutospacing="0" w:after="0" w:afterAutospacing="0"/>
              <w:rPr>
                <w:sz w:val="22"/>
                <w:szCs w:val="22"/>
              </w:rPr>
            </w:pPr>
            <w:r w:rsidRPr="002E6ABA">
              <w:rPr>
                <w:sz w:val="22"/>
                <w:szCs w:val="22"/>
              </w:rPr>
              <w:t>(Capital “P” followed by numbers indicates a page from Preface to textbook)</w:t>
            </w:r>
          </w:p>
        </w:tc>
        <w:tc>
          <w:tcPr>
            <w:tcW w:w="4320" w:type="dxa"/>
          </w:tcPr>
          <w:p w:rsidR="00604306" w:rsidRPr="002E6ABA" w:rsidRDefault="00604306" w:rsidP="00002243">
            <w:pPr>
              <w:pStyle w:val="NormalWeb"/>
              <w:spacing w:before="0" w:beforeAutospacing="0" w:after="0" w:afterAutospacing="0"/>
              <w:rPr>
                <w:sz w:val="22"/>
                <w:szCs w:val="22"/>
              </w:rPr>
            </w:pPr>
          </w:p>
        </w:tc>
      </w:tr>
      <w:tr w:rsidR="00201C13" w:rsidRPr="002E6ABA">
        <w:tc>
          <w:tcPr>
            <w:tcW w:w="4518" w:type="dxa"/>
          </w:tcPr>
          <w:p w:rsidR="00201C13" w:rsidRPr="002E6ABA" w:rsidRDefault="00201C13" w:rsidP="00002243">
            <w:pPr>
              <w:pStyle w:val="NormalWeb"/>
              <w:spacing w:before="0" w:beforeAutospacing="0" w:after="0" w:afterAutospacing="0"/>
              <w:rPr>
                <w:i/>
                <w:sz w:val="22"/>
                <w:szCs w:val="22"/>
              </w:rPr>
            </w:pPr>
          </w:p>
        </w:tc>
        <w:tc>
          <w:tcPr>
            <w:tcW w:w="4320" w:type="dxa"/>
          </w:tcPr>
          <w:p w:rsidR="00201C13" w:rsidRPr="002E6ABA" w:rsidRDefault="00201C13" w:rsidP="00002243">
            <w:pPr>
              <w:pStyle w:val="NormalWeb"/>
              <w:spacing w:before="0" w:beforeAutospacing="0" w:after="0" w:afterAutospacing="0"/>
              <w:rPr>
                <w:sz w:val="22"/>
                <w:szCs w:val="22"/>
              </w:rPr>
            </w:pPr>
          </w:p>
        </w:tc>
      </w:tr>
      <w:tr w:rsidR="00517537" w:rsidRPr="002E6ABA">
        <w:tc>
          <w:tcPr>
            <w:tcW w:w="4518" w:type="dxa"/>
          </w:tcPr>
          <w:p w:rsidR="00517537" w:rsidRPr="002E6ABA" w:rsidRDefault="00517537" w:rsidP="00002243">
            <w:pPr>
              <w:pStyle w:val="NormalWeb"/>
              <w:spacing w:before="0" w:beforeAutospacing="0" w:after="0" w:afterAutospacing="0"/>
              <w:rPr>
                <w:i/>
                <w:sz w:val="22"/>
                <w:szCs w:val="22"/>
              </w:rPr>
            </w:pPr>
          </w:p>
          <w:p w:rsidR="00517537" w:rsidRPr="002E6ABA" w:rsidRDefault="00517537" w:rsidP="00002243">
            <w:pPr>
              <w:pStyle w:val="NormalWeb"/>
              <w:spacing w:before="0" w:beforeAutospacing="0" w:after="0" w:afterAutospacing="0"/>
              <w:rPr>
                <w:i/>
                <w:sz w:val="22"/>
                <w:szCs w:val="22"/>
              </w:rPr>
            </w:pPr>
          </w:p>
        </w:tc>
        <w:tc>
          <w:tcPr>
            <w:tcW w:w="4320" w:type="dxa"/>
          </w:tcPr>
          <w:p w:rsidR="00517537" w:rsidRPr="002E6ABA" w:rsidRDefault="00517537" w:rsidP="00002243">
            <w:pPr>
              <w:pStyle w:val="NormalWeb"/>
              <w:spacing w:before="0" w:beforeAutospacing="0" w:after="0" w:afterAutospacing="0"/>
              <w:rPr>
                <w:sz w:val="22"/>
                <w:szCs w:val="22"/>
              </w:rPr>
            </w:pPr>
          </w:p>
        </w:tc>
      </w:tr>
    </w:tbl>
    <w:p w:rsidR="00272F98" w:rsidRPr="002E6ABA" w:rsidRDefault="00272F98"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Default="00517537"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Pr="002E6ABA" w:rsidRDefault="00D516D1" w:rsidP="003F2AC1">
      <w:pPr>
        <w:pStyle w:val="NormalWeb"/>
        <w:spacing w:before="0" w:beforeAutospacing="0" w:after="0" w:afterAutospacing="0"/>
        <w:rPr>
          <w:b/>
          <w:sz w:val="22"/>
          <w:szCs w:val="22"/>
        </w:rPr>
      </w:pPr>
    </w:p>
    <w:p w:rsidR="003D4083" w:rsidRPr="002E6ABA" w:rsidRDefault="003D4083" w:rsidP="00517537">
      <w:pPr>
        <w:rPr>
          <w:b/>
          <w:sz w:val="22"/>
          <w:szCs w:val="22"/>
        </w:rPr>
      </w:pPr>
      <w:r w:rsidRPr="002E6ABA">
        <w:rPr>
          <w:b/>
          <w:sz w:val="22"/>
          <w:szCs w:val="22"/>
        </w:rPr>
        <w:lastRenderedPageBreak/>
        <w:t>ENGL 1301 Syllabus Contract</w:t>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I have read and understood the syllabus, and I agree to abide by the course policies.</w:t>
      </w: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_____________________________________</w:t>
      </w:r>
      <w:r w:rsidRPr="002E6ABA">
        <w:rPr>
          <w:rFonts w:ascii="Times New Roman" w:hAnsi="Times New Roman"/>
          <w:sz w:val="22"/>
          <w:szCs w:val="22"/>
        </w:rPr>
        <w:tab/>
      </w:r>
      <w:r w:rsidRPr="002E6ABA">
        <w:rPr>
          <w:rFonts w:ascii="Times New Roman" w:hAnsi="Times New Roman"/>
          <w:sz w:val="22"/>
          <w:szCs w:val="22"/>
        </w:rPr>
        <w:tab/>
        <w:t>______________</w:t>
      </w: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p>
    <w:p w:rsidR="003D4083" w:rsidRPr="002E6ABA" w:rsidRDefault="003D4083" w:rsidP="003D4083">
      <w:pPr>
        <w:rPr>
          <w:sz w:val="22"/>
          <w:szCs w:val="22"/>
        </w:rPr>
      </w:pPr>
      <w:r w:rsidRPr="002E6ABA">
        <w:rPr>
          <w:sz w:val="22"/>
          <w:szCs w:val="22"/>
        </w:rPr>
        <w:t>Print Name</w:t>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t>Date</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_____________________________________</w:t>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u w:val="single"/>
        </w:rPr>
        <w:tab/>
      </w:r>
      <w:r w:rsidRPr="002E6ABA">
        <w:rPr>
          <w:rFonts w:ascii="Times New Roman" w:hAnsi="Times New Roman"/>
          <w:sz w:val="22"/>
          <w:szCs w:val="22"/>
          <w:u w:val="single"/>
        </w:rPr>
        <w:tab/>
      </w: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p>
    <w:p w:rsidR="003D4083" w:rsidRPr="002E6ABA" w:rsidRDefault="003D4083" w:rsidP="003D4083">
      <w:pPr>
        <w:rPr>
          <w:sz w:val="22"/>
          <w:szCs w:val="22"/>
        </w:rPr>
      </w:pPr>
      <w:r w:rsidRPr="002E6ABA">
        <w:rPr>
          <w:sz w:val="22"/>
          <w:szCs w:val="22"/>
        </w:rPr>
        <w:t>Signature</w:t>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t>Date</w:t>
      </w:r>
    </w:p>
    <w:p w:rsidR="003D4083" w:rsidRPr="002E6ABA" w:rsidRDefault="003D4083" w:rsidP="003D4083">
      <w:pPr>
        <w:rPr>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jc w:val="center"/>
        <w:rPr>
          <w:b/>
          <w:sz w:val="22"/>
          <w:szCs w:val="22"/>
        </w:rPr>
      </w:pPr>
      <w:r w:rsidRPr="002E6ABA">
        <w:rPr>
          <w:b/>
          <w:sz w:val="22"/>
          <w:szCs w:val="22"/>
        </w:rPr>
        <w:t>Permission to Use Student Writing</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Student’s Name</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Class Number and Section</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Instructor  Name</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I give my permission for my writing to be used as an example of student work and/or as a teaching tool for future classes. I understand that my name will be removed from my work before it is shared with others.</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Student’s signature</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UTA ID</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rPr>
        <w:t xml:space="preserve"> Date</w:t>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p>
    <w:p w:rsidR="0068723C" w:rsidRPr="002E6ABA" w:rsidRDefault="0068723C"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8E1234" w:rsidRDefault="008E1234" w:rsidP="003D3663">
      <w:pPr>
        <w:contextualSpacing/>
        <w:jc w:val="center"/>
        <w:rPr>
          <w:sz w:val="22"/>
          <w:szCs w:val="22"/>
        </w:rPr>
      </w:pPr>
    </w:p>
    <w:p w:rsidR="00D516D1" w:rsidRDefault="00D516D1" w:rsidP="003D3663">
      <w:pPr>
        <w:contextualSpacing/>
        <w:jc w:val="center"/>
        <w:rPr>
          <w:sz w:val="22"/>
          <w:szCs w:val="22"/>
        </w:rPr>
      </w:pPr>
    </w:p>
    <w:p w:rsidR="00D516D1" w:rsidRDefault="00D516D1" w:rsidP="003D3663">
      <w:pPr>
        <w:contextualSpacing/>
        <w:jc w:val="center"/>
        <w:rPr>
          <w:sz w:val="22"/>
          <w:szCs w:val="22"/>
        </w:rPr>
      </w:pPr>
    </w:p>
    <w:p w:rsidR="00D516D1" w:rsidRDefault="00D516D1" w:rsidP="003D3663">
      <w:pPr>
        <w:contextualSpacing/>
        <w:jc w:val="center"/>
        <w:rPr>
          <w:sz w:val="22"/>
          <w:szCs w:val="22"/>
        </w:rPr>
      </w:pPr>
    </w:p>
    <w:p w:rsidR="00D516D1" w:rsidRPr="002E6ABA" w:rsidRDefault="00D516D1" w:rsidP="003D3663">
      <w:pPr>
        <w:contextualSpacing/>
        <w:jc w:val="center"/>
        <w:rPr>
          <w:sz w:val="22"/>
          <w:szCs w:val="22"/>
        </w:rPr>
      </w:pPr>
    </w:p>
    <w:p w:rsidR="008E1234" w:rsidRPr="002E6ABA" w:rsidRDefault="008E1234" w:rsidP="003D3663">
      <w:pPr>
        <w:contextualSpacing/>
        <w:jc w:val="center"/>
        <w:rPr>
          <w:sz w:val="22"/>
          <w:szCs w:val="22"/>
        </w:rPr>
      </w:pPr>
    </w:p>
    <w:p w:rsidR="008E1234" w:rsidRPr="002E6ABA" w:rsidRDefault="008E1234" w:rsidP="003D3663">
      <w:pPr>
        <w:contextualSpacing/>
        <w:jc w:val="center"/>
        <w:rPr>
          <w:sz w:val="22"/>
          <w:szCs w:val="22"/>
        </w:rPr>
      </w:pPr>
    </w:p>
    <w:sectPr w:rsidR="008E1234" w:rsidRPr="002E6ABA" w:rsidSect="005F50B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0B" w:rsidRDefault="0000780B" w:rsidP="00F60F68">
      <w:r>
        <w:separator/>
      </w:r>
    </w:p>
  </w:endnote>
  <w:endnote w:type="continuationSeparator" w:id="0">
    <w:p w:rsidR="0000780B" w:rsidRDefault="0000780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0B" w:rsidRDefault="0000780B" w:rsidP="00F60F68">
      <w:r>
        <w:separator/>
      </w:r>
    </w:p>
  </w:footnote>
  <w:footnote w:type="continuationSeparator" w:id="0">
    <w:p w:rsidR="0000780B" w:rsidRDefault="0000780B"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58799E" w:rsidRDefault="00414C34">
        <w:pPr>
          <w:pStyle w:val="Header"/>
          <w:jc w:val="right"/>
        </w:pPr>
        <w:r>
          <w:fldChar w:fldCharType="begin"/>
        </w:r>
        <w:r>
          <w:instrText xml:space="preserve"> PAGE   \* MERGEFORMAT </w:instrText>
        </w:r>
        <w:r>
          <w:fldChar w:fldCharType="separate"/>
        </w:r>
        <w:r w:rsidR="007629BA">
          <w:rPr>
            <w:noProof/>
          </w:rPr>
          <w:t>1</w:t>
        </w:r>
        <w:r>
          <w:rPr>
            <w:noProof/>
          </w:rPr>
          <w:fldChar w:fldCharType="end"/>
        </w:r>
      </w:p>
    </w:sdtContent>
  </w:sdt>
  <w:p w:rsidR="0058799E" w:rsidRDefault="0058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531E"/>
      </v:shape>
    </w:pict>
  </w:numPicBullet>
  <w:numPicBullet w:numPicBulletId="1">
    <w:pict>
      <v:shape id="_x0000_i1032" type="#_x0000_t75" style="width:10pt;height:10pt" o:bullet="t">
        <v:imagedata r:id="rId2" o:title="BD21298_"/>
      </v:shape>
    </w:pict>
  </w:numPicBullet>
  <w:numPicBullet w:numPicBulletId="2">
    <w:pict>
      <v:shape id="_x0000_i1033" type="#_x0000_t75" style="width:10pt;height:10pt" o:bullet="t">
        <v:imagedata r:id="rId3" o:title="BD21298_"/>
      </v:shape>
    </w:pict>
  </w:numPicBullet>
  <w:numPicBullet w:numPicBulletId="3">
    <w:pict>
      <v:shape id="_x0000_i1034" type="#_x0000_t75" style="width:11.5pt;height:11.5pt" o:bullet="t">
        <v:imagedata r:id="rId4" o:title="BD14565_"/>
      </v:shape>
    </w:pict>
  </w:numPicBullet>
  <w:numPicBullet w:numPicBulletId="4">
    <w:pict>
      <v:shape id="_x0000_i1035" type="#_x0000_t75" style="width:11.5pt;height:11.5pt" o:bullet="t">
        <v:imagedata r:id="rId5" o:title="mso1338"/>
      </v:shape>
    </w:pict>
  </w:numPicBullet>
  <w:abstractNum w:abstractNumId="0">
    <w:nsid w:val="05845AD4"/>
    <w:multiLevelType w:val="hybridMultilevel"/>
    <w:tmpl w:val="5C6055EC"/>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3D92"/>
    <w:multiLevelType w:val="hybridMultilevel"/>
    <w:tmpl w:val="7F80EB48"/>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15382"/>
    <w:multiLevelType w:val="hybridMultilevel"/>
    <w:tmpl w:val="D9424060"/>
    <w:lvl w:ilvl="0" w:tplc="4080F8CC">
      <w:start w:val="1"/>
      <w:numFmt w:val="bullet"/>
      <w:lvlText w:val=""/>
      <w:lvlPicBulletId w:val="2"/>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0C63999"/>
    <w:multiLevelType w:val="hybridMultilevel"/>
    <w:tmpl w:val="96688490"/>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0BF6"/>
    <w:multiLevelType w:val="hybridMultilevel"/>
    <w:tmpl w:val="2FAAE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12E05"/>
    <w:multiLevelType w:val="hybridMultilevel"/>
    <w:tmpl w:val="620A9656"/>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D3698"/>
    <w:multiLevelType w:val="hybridMultilevel"/>
    <w:tmpl w:val="6486E54C"/>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60B10"/>
    <w:multiLevelType w:val="hybridMultilevel"/>
    <w:tmpl w:val="5CFC8C6C"/>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9165E"/>
    <w:multiLevelType w:val="hybridMultilevel"/>
    <w:tmpl w:val="83BA1A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B3988"/>
    <w:multiLevelType w:val="hybridMultilevel"/>
    <w:tmpl w:val="AC6E7E26"/>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7177"/>
    <w:multiLevelType w:val="hybridMultilevel"/>
    <w:tmpl w:val="7C36BCF8"/>
    <w:lvl w:ilvl="0" w:tplc="976232A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156C8"/>
    <w:multiLevelType w:val="hybridMultilevel"/>
    <w:tmpl w:val="229AC4D8"/>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F43E3"/>
    <w:multiLevelType w:val="hybridMultilevel"/>
    <w:tmpl w:val="3C2CB2B2"/>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8514C"/>
    <w:multiLevelType w:val="hybridMultilevel"/>
    <w:tmpl w:val="695A1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E7A15"/>
    <w:multiLevelType w:val="hybridMultilevel"/>
    <w:tmpl w:val="B95232CC"/>
    <w:lvl w:ilvl="0" w:tplc="4080F8CC">
      <w:start w:val="1"/>
      <w:numFmt w:val="bullet"/>
      <w:lvlText w:val=""/>
      <w:lvlPicBulletId w:val="1"/>
      <w:lvlJc w:val="left"/>
      <w:pPr>
        <w:ind w:left="78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927D9"/>
    <w:multiLevelType w:val="hybridMultilevel"/>
    <w:tmpl w:val="53B22DE0"/>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0252B"/>
    <w:multiLevelType w:val="hybridMultilevel"/>
    <w:tmpl w:val="5D4A4E7C"/>
    <w:lvl w:ilvl="0" w:tplc="976232A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B2C84"/>
    <w:multiLevelType w:val="hybridMultilevel"/>
    <w:tmpl w:val="E15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86CA5"/>
    <w:multiLevelType w:val="hybridMultilevel"/>
    <w:tmpl w:val="8FD67B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94BFE"/>
    <w:multiLevelType w:val="hybridMultilevel"/>
    <w:tmpl w:val="C1D6E2F0"/>
    <w:lvl w:ilvl="0" w:tplc="A07C1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372FD"/>
    <w:multiLevelType w:val="hybridMultilevel"/>
    <w:tmpl w:val="0F56CB44"/>
    <w:lvl w:ilvl="0" w:tplc="4080F8CC">
      <w:start w:val="1"/>
      <w:numFmt w:val="bullet"/>
      <w:lvlText w:val=""/>
      <w:lvlPicBulletId w:val="2"/>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nsid w:val="66273B98"/>
    <w:multiLevelType w:val="hybridMultilevel"/>
    <w:tmpl w:val="ED1E2C56"/>
    <w:lvl w:ilvl="0" w:tplc="4080F8CC">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3629E"/>
    <w:multiLevelType w:val="hybridMultilevel"/>
    <w:tmpl w:val="119CD946"/>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1065"/>
    <w:multiLevelType w:val="hybridMultilevel"/>
    <w:tmpl w:val="281ADD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37A5C"/>
    <w:multiLevelType w:val="hybridMultilevel"/>
    <w:tmpl w:val="70DC06DC"/>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B6461"/>
    <w:multiLevelType w:val="hybridMultilevel"/>
    <w:tmpl w:val="89EA6F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B3985"/>
    <w:multiLevelType w:val="hybridMultilevel"/>
    <w:tmpl w:val="ACBA07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C54D1"/>
    <w:multiLevelType w:val="hybridMultilevel"/>
    <w:tmpl w:val="30E404FA"/>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81C20"/>
    <w:multiLevelType w:val="hybridMultilevel"/>
    <w:tmpl w:val="8A8457DC"/>
    <w:lvl w:ilvl="0" w:tplc="04090007">
      <w:start w:val="1"/>
      <w:numFmt w:val="bullet"/>
      <w:lvlText w:val=""/>
      <w:lvlPicBulletId w:val="0"/>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75940659"/>
    <w:multiLevelType w:val="hybridMultilevel"/>
    <w:tmpl w:val="543296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0074"/>
    <w:multiLevelType w:val="hybridMultilevel"/>
    <w:tmpl w:val="1F0C5232"/>
    <w:lvl w:ilvl="0" w:tplc="4080F8CC">
      <w:start w:val="1"/>
      <w:numFmt w:val="bullet"/>
      <w:lvlText w:val=""/>
      <w:lvlPicBulletId w:val="2"/>
      <w:lvlJc w:val="left"/>
      <w:pPr>
        <w:ind w:left="1549" w:hanging="360"/>
      </w:pPr>
      <w:rPr>
        <w:rFonts w:ascii="Symbol" w:hAnsi="Symbol" w:hint="default"/>
        <w:color w:val="auto"/>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5">
    <w:nsid w:val="7D9230C5"/>
    <w:multiLevelType w:val="hybridMultilevel"/>
    <w:tmpl w:val="67825D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7"/>
  </w:num>
  <w:num w:numId="5">
    <w:abstractNumId w:val="23"/>
  </w:num>
  <w:num w:numId="6">
    <w:abstractNumId w:val="21"/>
  </w:num>
  <w:num w:numId="7">
    <w:abstractNumId w:val="32"/>
  </w:num>
  <w:num w:numId="8">
    <w:abstractNumId w:val="16"/>
  </w:num>
  <w:num w:numId="9">
    <w:abstractNumId w:val="0"/>
  </w:num>
  <w:num w:numId="10">
    <w:abstractNumId w:val="10"/>
  </w:num>
  <w:num w:numId="11">
    <w:abstractNumId w:val="5"/>
  </w:num>
  <w:num w:numId="12">
    <w:abstractNumId w:val="7"/>
  </w:num>
  <w:num w:numId="13">
    <w:abstractNumId w:val="25"/>
  </w:num>
  <w:num w:numId="14">
    <w:abstractNumId w:val="33"/>
  </w:num>
  <w:num w:numId="15">
    <w:abstractNumId w:val="35"/>
  </w:num>
  <w:num w:numId="16">
    <w:abstractNumId w:val="26"/>
  </w:num>
  <w:num w:numId="17">
    <w:abstractNumId w:val="31"/>
  </w:num>
  <w:num w:numId="18">
    <w:abstractNumId w:val="3"/>
  </w:num>
  <w:num w:numId="19">
    <w:abstractNumId w:val="1"/>
  </w:num>
  <w:num w:numId="20">
    <w:abstractNumId w:val="29"/>
  </w:num>
  <w:num w:numId="21">
    <w:abstractNumId w:val="28"/>
  </w:num>
  <w:num w:numId="22">
    <w:abstractNumId w:val="30"/>
  </w:num>
  <w:num w:numId="23">
    <w:abstractNumId w:val="4"/>
  </w:num>
  <w:num w:numId="24">
    <w:abstractNumId w:val="15"/>
  </w:num>
  <w:num w:numId="25">
    <w:abstractNumId w:val="27"/>
  </w:num>
  <w:num w:numId="26">
    <w:abstractNumId w:val="22"/>
  </w:num>
  <w:num w:numId="27">
    <w:abstractNumId w:val="24"/>
  </w:num>
  <w:num w:numId="28">
    <w:abstractNumId w:val="34"/>
  </w:num>
  <w:num w:numId="29">
    <w:abstractNumId w:val="19"/>
  </w:num>
  <w:num w:numId="30">
    <w:abstractNumId w:val="13"/>
  </w:num>
  <w:num w:numId="31">
    <w:abstractNumId w:val="20"/>
  </w:num>
  <w:num w:numId="32">
    <w:abstractNumId w:val="12"/>
  </w:num>
  <w:num w:numId="33">
    <w:abstractNumId w:val="14"/>
  </w:num>
  <w:num w:numId="34">
    <w:abstractNumId w:val="6"/>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780B"/>
    <w:rsid w:val="00010A92"/>
    <w:rsid w:val="000138B8"/>
    <w:rsid w:val="000142DA"/>
    <w:rsid w:val="000252C9"/>
    <w:rsid w:val="000411A1"/>
    <w:rsid w:val="00067EF6"/>
    <w:rsid w:val="000708A1"/>
    <w:rsid w:val="000864B4"/>
    <w:rsid w:val="00086F1A"/>
    <w:rsid w:val="00087C8C"/>
    <w:rsid w:val="00090980"/>
    <w:rsid w:val="000B2E66"/>
    <w:rsid w:val="000C4181"/>
    <w:rsid w:val="000D5E10"/>
    <w:rsid w:val="000E0436"/>
    <w:rsid w:val="000E3972"/>
    <w:rsid w:val="000F0A15"/>
    <w:rsid w:val="000F1554"/>
    <w:rsid w:val="00101507"/>
    <w:rsid w:val="001019BF"/>
    <w:rsid w:val="00104DAE"/>
    <w:rsid w:val="00117D03"/>
    <w:rsid w:val="00133BBF"/>
    <w:rsid w:val="00144E65"/>
    <w:rsid w:val="0015258C"/>
    <w:rsid w:val="00161046"/>
    <w:rsid w:val="00171581"/>
    <w:rsid w:val="001A3A37"/>
    <w:rsid w:val="001B1131"/>
    <w:rsid w:val="001B19C2"/>
    <w:rsid w:val="001C03F5"/>
    <w:rsid w:val="001C6723"/>
    <w:rsid w:val="001E12DB"/>
    <w:rsid w:val="001E647C"/>
    <w:rsid w:val="001F718A"/>
    <w:rsid w:val="00201C13"/>
    <w:rsid w:val="0020581F"/>
    <w:rsid w:val="00214D32"/>
    <w:rsid w:val="002221E5"/>
    <w:rsid w:val="0023305F"/>
    <w:rsid w:val="00253F8E"/>
    <w:rsid w:val="00272F98"/>
    <w:rsid w:val="002962E2"/>
    <w:rsid w:val="002A5DF6"/>
    <w:rsid w:val="002A77A1"/>
    <w:rsid w:val="002B3155"/>
    <w:rsid w:val="002B6A83"/>
    <w:rsid w:val="002B6C14"/>
    <w:rsid w:val="002D03BA"/>
    <w:rsid w:val="002E64D4"/>
    <w:rsid w:val="002E6ABA"/>
    <w:rsid w:val="002F4E30"/>
    <w:rsid w:val="002F7D18"/>
    <w:rsid w:val="0030622F"/>
    <w:rsid w:val="00306497"/>
    <w:rsid w:val="003169F7"/>
    <w:rsid w:val="00351432"/>
    <w:rsid w:val="003543C6"/>
    <w:rsid w:val="00355378"/>
    <w:rsid w:val="00366166"/>
    <w:rsid w:val="00374086"/>
    <w:rsid w:val="00380331"/>
    <w:rsid w:val="003842A7"/>
    <w:rsid w:val="003A2C57"/>
    <w:rsid w:val="003D0AD1"/>
    <w:rsid w:val="003D356B"/>
    <w:rsid w:val="003D3663"/>
    <w:rsid w:val="003D4083"/>
    <w:rsid w:val="003F0311"/>
    <w:rsid w:val="003F2AC1"/>
    <w:rsid w:val="003F6965"/>
    <w:rsid w:val="00414C34"/>
    <w:rsid w:val="00415D8D"/>
    <w:rsid w:val="00420DE8"/>
    <w:rsid w:val="00430E4F"/>
    <w:rsid w:val="00434C9B"/>
    <w:rsid w:val="004361B0"/>
    <w:rsid w:val="00437516"/>
    <w:rsid w:val="00445AE2"/>
    <w:rsid w:val="0046433F"/>
    <w:rsid w:val="004646C2"/>
    <w:rsid w:val="00491167"/>
    <w:rsid w:val="004918A0"/>
    <w:rsid w:val="004921DA"/>
    <w:rsid w:val="0049537D"/>
    <w:rsid w:val="004C6C7F"/>
    <w:rsid w:val="004C6D6C"/>
    <w:rsid w:val="004C7CDF"/>
    <w:rsid w:val="004D461A"/>
    <w:rsid w:val="004D757D"/>
    <w:rsid w:val="004D75B9"/>
    <w:rsid w:val="004E2A2D"/>
    <w:rsid w:val="004F4187"/>
    <w:rsid w:val="004F7961"/>
    <w:rsid w:val="0050768F"/>
    <w:rsid w:val="00517537"/>
    <w:rsid w:val="0052157E"/>
    <w:rsid w:val="005235F5"/>
    <w:rsid w:val="0052709D"/>
    <w:rsid w:val="00532AFA"/>
    <w:rsid w:val="00532D10"/>
    <w:rsid w:val="0054541C"/>
    <w:rsid w:val="005550E0"/>
    <w:rsid w:val="00574E07"/>
    <w:rsid w:val="0058799E"/>
    <w:rsid w:val="005A16E1"/>
    <w:rsid w:val="005A7619"/>
    <w:rsid w:val="005B1A16"/>
    <w:rsid w:val="005B6C53"/>
    <w:rsid w:val="005C0342"/>
    <w:rsid w:val="005C3791"/>
    <w:rsid w:val="005D7B22"/>
    <w:rsid w:val="005E045A"/>
    <w:rsid w:val="005E7F0A"/>
    <w:rsid w:val="005F1D44"/>
    <w:rsid w:val="005F50B1"/>
    <w:rsid w:val="00600A0A"/>
    <w:rsid w:val="006024F8"/>
    <w:rsid w:val="00604306"/>
    <w:rsid w:val="00611F18"/>
    <w:rsid w:val="00621401"/>
    <w:rsid w:val="00622EE3"/>
    <w:rsid w:val="00630475"/>
    <w:rsid w:val="006313AF"/>
    <w:rsid w:val="00632CD4"/>
    <w:rsid w:val="006407C1"/>
    <w:rsid w:val="006453EF"/>
    <w:rsid w:val="006459F9"/>
    <w:rsid w:val="0067192D"/>
    <w:rsid w:val="00673725"/>
    <w:rsid w:val="0068638A"/>
    <w:rsid w:val="0068723C"/>
    <w:rsid w:val="006A4005"/>
    <w:rsid w:val="006E52AC"/>
    <w:rsid w:val="006E715F"/>
    <w:rsid w:val="007072A0"/>
    <w:rsid w:val="00710311"/>
    <w:rsid w:val="00720FD9"/>
    <w:rsid w:val="00722228"/>
    <w:rsid w:val="00723FF4"/>
    <w:rsid w:val="00741D3A"/>
    <w:rsid w:val="00744FFB"/>
    <w:rsid w:val="007629BA"/>
    <w:rsid w:val="00773A23"/>
    <w:rsid w:val="007828B3"/>
    <w:rsid w:val="00784901"/>
    <w:rsid w:val="00784967"/>
    <w:rsid w:val="00795C30"/>
    <w:rsid w:val="007A50EB"/>
    <w:rsid w:val="007B4B4A"/>
    <w:rsid w:val="007B5BEC"/>
    <w:rsid w:val="007D6496"/>
    <w:rsid w:val="007D6F9E"/>
    <w:rsid w:val="007E7658"/>
    <w:rsid w:val="007F0493"/>
    <w:rsid w:val="007F7204"/>
    <w:rsid w:val="0080139E"/>
    <w:rsid w:val="0080654A"/>
    <w:rsid w:val="00807421"/>
    <w:rsid w:val="00830536"/>
    <w:rsid w:val="0083061B"/>
    <w:rsid w:val="00833861"/>
    <w:rsid w:val="00841B45"/>
    <w:rsid w:val="008526AF"/>
    <w:rsid w:val="00852DE9"/>
    <w:rsid w:val="00866001"/>
    <w:rsid w:val="00884669"/>
    <w:rsid w:val="008A0078"/>
    <w:rsid w:val="008B0002"/>
    <w:rsid w:val="008B2C41"/>
    <w:rsid w:val="008C5170"/>
    <w:rsid w:val="008D4AB8"/>
    <w:rsid w:val="008D7757"/>
    <w:rsid w:val="008E1234"/>
    <w:rsid w:val="008E30B6"/>
    <w:rsid w:val="008E3848"/>
    <w:rsid w:val="00902D6A"/>
    <w:rsid w:val="00910ED0"/>
    <w:rsid w:val="00912BDA"/>
    <w:rsid w:val="009150E0"/>
    <w:rsid w:val="00915FA4"/>
    <w:rsid w:val="00922A65"/>
    <w:rsid w:val="00925518"/>
    <w:rsid w:val="00926FDD"/>
    <w:rsid w:val="00935370"/>
    <w:rsid w:val="00951A12"/>
    <w:rsid w:val="00960075"/>
    <w:rsid w:val="00960B6D"/>
    <w:rsid w:val="00962A8F"/>
    <w:rsid w:val="009709E7"/>
    <w:rsid w:val="0097385B"/>
    <w:rsid w:val="00982514"/>
    <w:rsid w:val="009827C0"/>
    <w:rsid w:val="00986300"/>
    <w:rsid w:val="009936C3"/>
    <w:rsid w:val="00997B0F"/>
    <w:rsid w:val="009A5954"/>
    <w:rsid w:val="009B52E2"/>
    <w:rsid w:val="009E33B2"/>
    <w:rsid w:val="009E4FD1"/>
    <w:rsid w:val="009E7734"/>
    <w:rsid w:val="009F24FB"/>
    <w:rsid w:val="009F312F"/>
    <w:rsid w:val="009F49D4"/>
    <w:rsid w:val="009F61E5"/>
    <w:rsid w:val="00A13CC4"/>
    <w:rsid w:val="00A16178"/>
    <w:rsid w:val="00A26FD8"/>
    <w:rsid w:val="00A32BFB"/>
    <w:rsid w:val="00A60D12"/>
    <w:rsid w:val="00A655BA"/>
    <w:rsid w:val="00A6659A"/>
    <w:rsid w:val="00A7799E"/>
    <w:rsid w:val="00A83FE0"/>
    <w:rsid w:val="00A87775"/>
    <w:rsid w:val="00A9363D"/>
    <w:rsid w:val="00A94492"/>
    <w:rsid w:val="00A95CF1"/>
    <w:rsid w:val="00AB4BD6"/>
    <w:rsid w:val="00AC5BC9"/>
    <w:rsid w:val="00AD15CC"/>
    <w:rsid w:val="00AF67E4"/>
    <w:rsid w:val="00B05970"/>
    <w:rsid w:val="00B119A5"/>
    <w:rsid w:val="00B14EF8"/>
    <w:rsid w:val="00B176CD"/>
    <w:rsid w:val="00B310EC"/>
    <w:rsid w:val="00B40683"/>
    <w:rsid w:val="00B47F8E"/>
    <w:rsid w:val="00B55242"/>
    <w:rsid w:val="00B639EE"/>
    <w:rsid w:val="00B677B8"/>
    <w:rsid w:val="00B76EFF"/>
    <w:rsid w:val="00B926B0"/>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371B6"/>
    <w:rsid w:val="00C46B90"/>
    <w:rsid w:val="00C52336"/>
    <w:rsid w:val="00C8273D"/>
    <w:rsid w:val="00C85BCC"/>
    <w:rsid w:val="00CB0D51"/>
    <w:rsid w:val="00CB1407"/>
    <w:rsid w:val="00CB23F0"/>
    <w:rsid w:val="00CC1B1B"/>
    <w:rsid w:val="00CC340D"/>
    <w:rsid w:val="00CD1052"/>
    <w:rsid w:val="00CD561F"/>
    <w:rsid w:val="00CD600D"/>
    <w:rsid w:val="00CF2B98"/>
    <w:rsid w:val="00CF3D31"/>
    <w:rsid w:val="00D07112"/>
    <w:rsid w:val="00D1574F"/>
    <w:rsid w:val="00D20A75"/>
    <w:rsid w:val="00D22C79"/>
    <w:rsid w:val="00D269DE"/>
    <w:rsid w:val="00D357B2"/>
    <w:rsid w:val="00D516D1"/>
    <w:rsid w:val="00D711FD"/>
    <w:rsid w:val="00D74C43"/>
    <w:rsid w:val="00D75506"/>
    <w:rsid w:val="00D76FD0"/>
    <w:rsid w:val="00D8048E"/>
    <w:rsid w:val="00D94BE7"/>
    <w:rsid w:val="00DA1D5E"/>
    <w:rsid w:val="00DB07B1"/>
    <w:rsid w:val="00DB2CCF"/>
    <w:rsid w:val="00DB6BA0"/>
    <w:rsid w:val="00DC50F5"/>
    <w:rsid w:val="00DC666D"/>
    <w:rsid w:val="00DD1F7F"/>
    <w:rsid w:val="00DD3D12"/>
    <w:rsid w:val="00DE007E"/>
    <w:rsid w:val="00DE0B69"/>
    <w:rsid w:val="00DE7C7C"/>
    <w:rsid w:val="00E019A0"/>
    <w:rsid w:val="00E028A4"/>
    <w:rsid w:val="00E03DEF"/>
    <w:rsid w:val="00E048B4"/>
    <w:rsid w:val="00E13089"/>
    <w:rsid w:val="00E221DB"/>
    <w:rsid w:val="00E248B2"/>
    <w:rsid w:val="00E316AC"/>
    <w:rsid w:val="00E368C3"/>
    <w:rsid w:val="00E41480"/>
    <w:rsid w:val="00E53105"/>
    <w:rsid w:val="00E56F2E"/>
    <w:rsid w:val="00E67534"/>
    <w:rsid w:val="00E703F0"/>
    <w:rsid w:val="00E707DE"/>
    <w:rsid w:val="00E711B9"/>
    <w:rsid w:val="00E770F8"/>
    <w:rsid w:val="00E77DDF"/>
    <w:rsid w:val="00E80864"/>
    <w:rsid w:val="00E8513B"/>
    <w:rsid w:val="00E92705"/>
    <w:rsid w:val="00EB6AF1"/>
    <w:rsid w:val="00EC74BB"/>
    <w:rsid w:val="00F0691E"/>
    <w:rsid w:val="00F231A2"/>
    <w:rsid w:val="00F32C7B"/>
    <w:rsid w:val="00F330DE"/>
    <w:rsid w:val="00F360EC"/>
    <w:rsid w:val="00F40A40"/>
    <w:rsid w:val="00F43CE4"/>
    <w:rsid w:val="00F44CF7"/>
    <w:rsid w:val="00F52B31"/>
    <w:rsid w:val="00F5522F"/>
    <w:rsid w:val="00F60F68"/>
    <w:rsid w:val="00F65E8D"/>
    <w:rsid w:val="00F708B7"/>
    <w:rsid w:val="00F73961"/>
    <w:rsid w:val="00F9255A"/>
    <w:rsid w:val="00F93944"/>
    <w:rsid w:val="00F95EAE"/>
    <w:rsid w:val="00FB7F53"/>
    <w:rsid w:val="00FC09F2"/>
    <w:rsid w:val="00FC15A8"/>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8C74B-48F3-45FD-9056-2ABDACA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C46B90"/>
    <w:rPr>
      <w:rFonts w:ascii="Tahoma" w:hAnsi="Tahoma" w:cs="Tahoma"/>
      <w:sz w:val="16"/>
      <w:szCs w:val="16"/>
    </w:rPr>
  </w:style>
  <w:style w:type="character" w:customStyle="1" w:styleId="BalloonTextChar">
    <w:name w:val="Balloon Text Char"/>
    <w:basedOn w:val="DefaultParagraphFont"/>
    <w:link w:val="BalloonText"/>
    <w:uiPriority w:val="99"/>
    <w:semiHidden/>
    <w:rsid w:val="00C46B90"/>
    <w:rPr>
      <w:rFonts w:ascii="Tahoma" w:eastAsia="Times New Roman" w:hAnsi="Tahoma" w:cs="Tahoma"/>
      <w:sz w:val="16"/>
      <w:szCs w:val="16"/>
    </w:rPr>
  </w:style>
  <w:style w:type="paragraph" w:styleId="ListParagraph">
    <w:name w:val="List Paragraph"/>
    <w:basedOn w:val="Normal"/>
    <w:uiPriority w:val="34"/>
    <w:qFormat/>
    <w:rsid w:val="00AC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10"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642D5B5-2139-4C97-B48B-E152B775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Dianne Pearman</cp:lastModifiedBy>
  <cp:revision>2</cp:revision>
  <cp:lastPrinted>2013-08-13T23:15:00Z</cp:lastPrinted>
  <dcterms:created xsi:type="dcterms:W3CDTF">2014-01-14T00:49:00Z</dcterms:created>
  <dcterms:modified xsi:type="dcterms:W3CDTF">2014-01-14T00:49:00Z</dcterms:modified>
</cp:coreProperties>
</file>