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C14" w:rsidRPr="00B45FF6" w:rsidRDefault="00B45FF6" w:rsidP="00B45FF6">
      <w:r>
        <w:rPr>
          <w:rFonts w:ascii="Calibri" w:hAnsi="Calibri"/>
          <w:sz w:val="22"/>
          <w:szCs w:val="22"/>
        </w:rPr>
        <w:br/>
      </w:r>
      <w:r>
        <w:rPr>
          <w:rFonts w:ascii="Times New Roman" w:hAnsi="Times New Roman"/>
        </w:rPr>
        <w:t>History 4101 – Moot Court</w:t>
      </w:r>
      <w:r>
        <w:rPr>
          <w:rFonts w:ascii="Times New Roman" w:hAnsi="Times New Roman"/>
        </w:rPr>
        <w:br/>
        <w:t> </w:t>
      </w:r>
      <w:r>
        <w:rPr>
          <w:rFonts w:ascii="Times New Roman" w:hAnsi="Times New Roman"/>
        </w:rPr>
        <w:br/>
      </w:r>
      <w:r>
        <w:rPr>
          <w:rFonts w:ascii="Times New Roman" w:hAnsi="Times New Roman"/>
          <w:b/>
        </w:rPr>
        <w:t>Course Description</w:t>
      </w:r>
      <w:r>
        <w:rPr>
          <w:rFonts w:ascii="Times New Roman" w:hAnsi="Times New Roman"/>
          <w:b/>
        </w:rPr>
        <w:br/>
      </w:r>
      <w:r>
        <w:rPr>
          <w:rFonts w:ascii="Times New Roman" w:hAnsi="Times New Roman"/>
        </w:rPr>
        <w:br/>
        <w:t xml:space="preserve">This course will prepare students to participate in moot court competitions, which simulate the experience of arguing a constitutional case before the Supreme Court. Teams from UTA will compete in local, regional and national competitions. Moot court is a highly profitable exercise that acquaints students with existing case law, hones their forensic and analytical skills, and puts them in contact with legal scholars and practicing members of the legal community. Even students who do not travel to competitions will derive many advantages from their participation in this course. </w:t>
      </w:r>
      <w:r>
        <w:rPr>
          <w:rFonts w:ascii="Times New Roman" w:hAnsi="Times New Roman"/>
        </w:rPr>
        <w:br/>
        <w:t> </w:t>
      </w:r>
      <w:r>
        <w:rPr>
          <w:rFonts w:ascii="Times New Roman" w:hAnsi="Times New Roman"/>
        </w:rPr>
        <w:br/>
      </w:r>
      <w:proofErr w:type="gramStart"/>
      <w:r>
        <w:rPr>
          <w:rFonts w:ascii="Times New Roman" w:hAnsi="Times New Roman"/>
          <w:b/>
        </w:rPr>
        <w:t>Course Objectives</w:t>
      </w:r>
      <w:r>
        <w:rPr>
          <w:rFonts w:ascii="Times New Roman" w:hAnsi="Times New Roman"/>
          <w:b/>
        </w:rPr>
        <w:br/>
      </w:r>
      <w:r>
        <w:rPr>
          <w:rFonts w:ascii="Times New Roman" w:hAnsi="Times New Roman"/>
        </w:rPr>
        <w:br/>
        <w:t>1.</w:t>
      </w:r>
      <w:proofErr w:type="gramEnd"/>
      <w:r>
        <w:rPr>
          <w:rFonts w:ascii="Times New Roman" w:hAnsi="Times New Roman"/>
        </w:rPr>
        <w:t xml:space="preserve"> Familiarize students with a hypothetical appellate case and the appropriate precedents </w:t>
      </w:r>
      <w:r>
        <w:rPr>
          <w:rFonts w:ascii="Times New Roman" w:hAnsi="Times New Roman"/>
        </w:rPr>
        <w:br/>
        <w:t> </w:t>
      </w:r>
      <w:r>
        <w:rPr>
          <w:rFonts w:ascii="Times New Roman" w:hAnsi="Times New Roman"/>
        </w:rPr>
        <w:br/>
        <w:t xml:space="preserve">2. Develop the capacity for oral argument in an appellate judicial setting </w:t>
      </w:r>
      <w:r>
        <w:rPr>
          <w:rFonts w:ascii="Times New Roman" w:hAnsi="Times New Roman"/>
        </w:rPr>
        <w:br/>
        <w:t> </w:t>
      </w:r>
      <w:r>
        <w:rPr>
          <w:rFonts w:ascii="Times New Roman" w:hAnsi="Times New Roman"/>
        </w:rPr>
        <w:br/>
        <w:t xml:space="preserve">3. Develop the capacity for analytical legal thinking </w:t>
      </w:r>
      <w:r>
        <w:rPr>
          <w:rFonts w:ascii="Times New Roman" w:hAnsi="Times New Roman"/>
        </w:rPr>
        <w:br/>
        <w:t> </w:t>
      </w:r>
      <w:r>
        <w:rPr>
          <w:rFonts w:ascii="Times New Roman" w:hAnsi="Times New Roman"/>
        </w:rPr>
        <w:br/>
      </w:r>
      <w:r>
        <w:rPr>
          <w:rFonts w:ascii="Times New Roman" w:hAnsi="Times New Roman"/>
          <w:b/>
        </w:rPr>
        <w:t>Required Texts</w:t>
      </w:r>
      <w:r>
        <w:rPr>
          <w:rFonts w:ascii="Times New Roman" w:hAnsi="Times New Roman"/>
          <w:b/>
        </w:rPr>
        <w:br/>
      </w:r>
      <w:r>
        <w:rPr>
          <w:rFonts w:ascii="Times New Roman" w:hAnsi="Times New Roman"/>
        </w:rPr>
        <w:br/>
        <w:t xml:space="preserve">2013-2014 ACMA Case Problem (PDF available at </w:t>
      </w:r>
      <w:hyperlink r:id="rId4" w:history="1">
        <w:r>
          <w:rPr>
            <w:rStyle w:val="Hyperlink"/>
            <w:rFonts w:ascii="Times New Roman" w:hAnsi="Times New Roman"/>
          </w:rPr>
          <w:t>http://www.acmamootcourt.org/uploads/3/0/1/9/3019175/2013-2014_acma_case.pdf</w:t>
        </w:r>
      </w:hyperlink>
      <w:r>
        <w:rPr>
          <w:rFonts w:ascii="Times New Roman" w:hAnsi="Times New Roman"/>
        </w:rPr>
        <w:t>)</w:t>
      </w:r>
      <w:r>
        <w:rPr>
          <w:rFonts w:ascii="Times New Roman" w:hAnsi="Times New Roman"/>
        </w:rPr>
        <w:br/>
        <w:t> </w:t>
      </w:r>
      <w:r>
        <w:rPr>
          <w:rFonts w:ascii="Times New Roman" w:hAnsi="Times New Roman"/>
        </w:rPr>
        <w:br/>
        <w:t xml:space="preserve">Alan Dworsky, The Little Book on Oral Argument (Rothman &amp; Co., 1991)  - </w:t>
      </w:r>
      <w:hyperlink r:id="rId5" w:history="1">
        <w:r>
          <w:rPr>
            <w:rStyle w:val="Hyperlink"/>
            <w:rFonts w:ascii="Times New Roman" w:hAnsi="Times New Roman"/>
          </w:rPr>
          <w:t>http://www.amazon.com/The-Little-Book-Oral-Argument/dp/0837705576</w:t>
        </w:r>
      </w:hyperlink>
      <w:r>
        <w:rPr>
          <w:rFonts w:ascii="Times New Roman" w:hAnsi="Times New Roman"/>
          <w:color w:val="0000FF"/>
          <w:u w:val="single"/>
        </w:rPr>
        <w:br/>
      </w:r>
      <w:r>
        <w:rPr>
          <w:rFonts w:ascii="Times New Roman" w:hAnsi="Times New Roman"/>
        </w:rPr>
        <w:br/>
        <w:t xml:space="preserve">Paul Weizer, How to Please the Court: A Moot Court Handbook (Peter Lang Publishing, 2004)  - </w:t>
      </w:r>
      <w:hyperlink r:id="rId6" w:history="1">
        <w:r>
          <w:rPr>
            <w:rStyle w:val="Hyperlink"/>
            <w:rFonts w:ascii="Times New Roman" w:hAnsi="Times New Roman"/>
          </w:rPr>
          <w:t>http://www.amazon.com/Please-Court-Teaching-Texts-Politics/dp/0820469491/ref=sr_1_1?s=books&amp;ie=UTF8&amp;qid=1374743733&amp;sr=1-1&amp;keywords=how+to+please+the+court</w:t>
        </w:r>
      </w:hyperlink>
      <w:r>
        <w:rPr>
          <w:rFonts w:ascii="Times New Roman" w:hAnsi="Times New Roman"/>
          <w:color w:val="0000FF"/>
          <w:u w:val="single"/>
        </w:rPr>
        <w:br/>
      </w:r>
      <w:r>
        <w:rPr>
          <w:rFonts w:ascii="Times New Roman" w:hAnsi="Times New Roman"/>
        </w:rPr>
        <w:br/>
        <w:t xml:space="preserve">Michael Murray and Christy DeSanctis, Appellate Advocacy and Moot Court (Foundation Press, 2006) - </w:t>
      </w:r>
      <w:hyperlink r:id="rId7" w:history="1">
        <w:r>
          <w:rPr>
            <w:rStyle w:val="Hyperlink"/>
            <w:rFonts w:ascii="Times New Roman" w:hAnsi="Times New Roman"/>
          </w:rPr>
          <w:t>http://www.amazon.com/Appellate-Advocacy-Court-University-Casebook/dp/1587789787</w:t>
        </w:r>
      </w:hyperlink>
      <w:r>
        <w:rPr>
          <w:rFonts w:ascii="Times New Roman" w:hAnsi="Times New Roman"/>
          <w:color w:val="0000FF"/>
          <w:u w:val="single"/>
        </w:rPr>
        <w:br/>
      </w:r>
      <w:r>
        <w:rPr>
          <w:rFonts w:ascii="Times New Roman" w:hAnsi="Times New Roman"/>
        </w:rPr>
        <w:br/>
      </w:r>
      <w:r>
        <w:rPr>
          <w:rFonts w:ascii="Times New Roman" w:hAnsi="Times New Roman"/>
          <w:b/>
        </w:rPr>
        <w:t>Fourth Amendment Cases</w:t>
      </w:r>
      <w:r>
        <w:rPr>
          <w:rFonts w:ascii="Times New Roman" w:hAnsi="Times New Roman"/>
        </w:rPr>
        <w:t>:</w:t>
      </w:r>
      <w:r>
        <w:rPr>
          <w:rFonts w:ascii="Times New Roman" w:hAnsi="Times New Roman"/>
        </w:rPr>
        <w:br/>
        <w:t> </w:t>
      </w:r>
      <w:r>
        <w:rPr>
          <w:rFonts w:ascii="Times New Roman" w:hAnsi="Times New Roman"/>
        </w:rPr>
        <w:br/>
        <w:t>Katz v. United States, 389 U.S. 347 (1967)</w:t>
      </w:r>
      <w:r>
        <w:rPr>
          <w:rFonts w:ascii="Times New Roman" w:hAnsi="Times New Roman"/>
        </w:rPr>
        <w:br/>
        <w:t> </w:t>
      </w:r>
      <w:r>
        <w:rPr>
          <w:rFonts w:ascii="Times New Roman" w:hAnsi="Times New Roman"/>
        </w:rPr>
        <w:br/>
        <w:t>Smith v. Maryland, 442 U.S. 735 (1979)</w:t>
      </w:r>
      <w:r>
        <w:rPr>
          <w:rFonts w:ascii="Times New Roman" w:hAnsi="Times New Roman"/>
        </w:rPr>
        <w:br/>
        <w:t> </w:t>
      </w:r>
      <w:r>
        <w:rPr>
          <w:rFonts w:ascii="Times New Roman" w:hAnsi="Times New Roman"/>
        </w:rPr>
        <w:br/>
        <w:t>United States v. Knotts, 460 U.S. 276 (1983)</w:t>
      </w:r>
      <w:r>
        <w:rPr>
          <w:rFonts w:ascii="Times New Roman" w:hAnsi="Times New Roman"/>
        </w:rPr>
        <w:br/>
        <w:t> </w:t>
      </w:r>
      <w:r>
        <w:rPr>
          <w:rFonts w:ascii="Times New Roman" w:hAnsi="Times New Roman"/>
        </w:rPr>
        <w:br/>
        <w:t>U.S. v. Oliver, 466 U.S. 170 (1984).</w:t>
      </w:r>
      <w:r>
        <w:rPr>
          <w:rFonts w:ascii="Times New Roman" w:hAnsi="Times New Roman"/>
        </w:rPr>
        <w:br/>
        <w:t> </w:t>
      </w:r>
      <w:r>
        <w:rPr>
          <w:rFonts w:ascii="Times New Roman" w:hAnsi="Times New Roman"/>
        </w:rPr>
        <w:br/>
        <w:t>U.S. v. Karo, 468 U.S. 705 (1984)</w:t>
      </w:r>
      <w:r>
        <w:rPr>
          <w:rFonts w:ascii="Times New Roman" w:hAnsi="Times New Roman"/>
        </w:rPr>
        <w:br/>
        <w:t> </w:t>
      </w:r>
      <w:r>
        <w:rPr>
          <w:rFonts w:ascii="Times New Roman" w:hAnsi="Times New Roman"/>
        </w:rPr>
        <w:br/>
        <w:t>California v. Ciraolo, 476 U.S. 207 (1986)</w:t>
      </w:r>
      <w:r>
        <w:rPr>
          <w:rFonts w:ascii="Times New Roman" w:hAnsi="Times New Roman"/>
        </w:rPr>
        <w:br/>
        <w:t> </w:t>
      </w:r>
      <w:r>
        <w:rPr>
          <w:rFonts w:ascii="Times New Roman" w:hAnsi="Times New Roman"/>
        </w:rPr>
        <w:br/>
        <w:t>Kyllo v. United States, 533 U.S. 27 (2001)</w:t>
      </w:r>
      <w:r>
        <w:rPr>
          <w:rFonts w:ascii="Times New Roman" w:hAnsi="Times New Roman"/>
        </w:rPr>
        <w:br/>
        <w:t> </w:t>
      </w:r>
      <w:r>
        <w:rPr>
          <w:rFonts w:ascii="Times New Roman" w:hAnsi="Times New Roman"/>
        </w:rPr>
        <w:br/>
        <w:t>United States v. Jones, 132 S. Ct. 945 (2012)</w:t>
      </w:r>
      <w:r>
        <w:rPr>
          <w:rFonts w:ascii="Times New Roman" w:hAnsi="Times New Roman"/>
        </w:rPr>
        <w:br/>
        <w:t> </w:t>
      </w:r>
      <w:r>
        <w:rPr>
          <w:rFonts w:ascii="Times New Roman" w:hAnsi="Times New Roman"/>
        </w:rPr>
        <w:br/>
        <w:t>Florida v Jardines, ___ U.S. ___ (2013).</w:t>
      </w:r>
      <w:r>
        <w:rPr>
          <w:rFonts w:ascii="Times New Roman" w:hAnsi="Times New Roman"/>
        </w:rPr>
        <w:br/>
        <w:t> </w:t>
      </w:r>
      <w:r>
        <w:rPr>
          <w:rFonts w:ascii="Times New Roman" w:hAnsi="Times New Roman"/>
        </w:rPr>
        <w:br/>
      </w:r>
      <w:r>
        <w:rPr>
          <w:rFonts w:ascii="Times New Roman" w:hAnsi="Times New Roman"/>
          <w:b/>
        </w:rPr>
        <w:t>Article II Cases Cited</w:t>
      </w:r>
      <w:r>
        <w:rPr>
          <w:rFonts w:ascii="Times New Roman" w:hAnsi="Times New Roman"/>
        </w:rPr>
        <w:t>:</w:t>
      </w:r>
      <w:r>
        <w:rPr>
          <w:rFonts w:ascii="Times New Roman" w:hAnsi="Times New Roman"/>
        </w:rPr>
        <w:br/>
        <w:t> </w:t>
      </w:r>
      <w:r>
        <w:rPr>
          <w:rFonts w:ascii="Times New Roman" w:hAnsi="Times New Roman"/>
        </w:rPr>
        <w:br/>
        <w:t>The Prize Cases, 67 U.S. 635 (1863)</w:t>
      </w:r>
      <w:r>
        <w:rPr>
          <w:rFonts w:ascii="Times New Roman" w:hAnsi="Times New Roman"/>
        </w:rPr>
        <w:br/>
        <w:t> </w:t>
      </w:r>
      <w:r>
        <w:rPr>
          <w:rFonts w:ascii="Times New Roman" w:hAnsi="Times New Roman"/>
        </w:rPr>
        <w:br/>
        <w:t>Ex parte Milligan, 71 U.S. (4 Wall.) 2 (1866)</w:t>
      </w:r>
      <w:r>
        <w:rPr>
          <w:rFonts w:ascii="Times New Roman" w:hAnsi="Times New Roman"/>
        </w:rPr>
        <w:br/>
        <w:t> </w:t>
      </w:r>
      <w:r>
        <w:rPr>
          <w:rFonts w:ascii="Times New Roman" w:hAnsi="Times New Roman"/>
        </w:rPr>
        <w:br/>
        <w:t>Costanzo v. Tillinghast, 287 U.S. 341 (1932)</w:t>
      </w:r>
      <w:r>
        <w:rPr>
          <w:rFonts w:ascii="Times New Roman" w:hAnsi="Times New Roman"/>
        </w:rPr>
        <w:br/>
        <w:t> </w:t>
      </w:r>
      <w:r>
        <w:rPr>
          <w:rFonts w:ascii="Times New Roman" w:hAnsi="Times New Roman"/>
        </w:rPr>
        <w:br/>
        <w:t>United States v. Curtiss-Wright Export Corp., 299 U.S. 304 (1936)</w:t>
      </w:r>
      <w:r>
        <w:rPr>
          <w:rFonts w:ascii="Times New Roman" w:hAnsi="Times New Roman"/>
        </w:rPr>
        <w:br/>
        <w:t> </w:t>
      </w:r>
      <w:r>
        <w:rPr>
          <w:rFonts w:ascii="Times New Roman" w:hAnsi="Times New Roman"/>
        </w:rPr>
        <w:br/>
        <w:t>Ex Parte Quirin, 317 U.S. 1 (1942)</w:t>
      </w:r>
      <w:r>
        <w:rPr>
          <w:rFonts w:ascii="Times New Roman" w:hAnsi="Times New Roman"/>
        </w:rPr>
        <w:br/>
        <w:t> </w:t>
      </w:r>
      <w:r>
        <w:rPr>
          <w:rFonts w:ascii="Times New Roman" w:hAnsi="Times New Roman"/>
        </w:rPr>
        <w:br/>
        <w:t>Youngstown Sheet &amp; Tube, Co. v. Sawyer, 343 U.S. 579 (1952)</w:t>
      </w:r>
      <w:r>
        <w:rPr>
          <w:rFonts w:ascii="Times New Roman" w:hAnsi="Times New Roman"/>
        </w:rPr>
        <w:br/>
        <w:t> </w:t>
      </w:r>
      <w:r>
        <w:rPr>
          <w:rFonts w:ascii="Times New Roman" w:hAnsi="Times New Roman"/>
        </w:rPr>
        <w:br/>
        <w:t>Hamdi v. Rumsfeld, 542 U.S. 507 (2004)</w:t>
      </w:r>
      <w:r>
        <w:rPr>
          <w:rFonts w:ascii="Times New Roman" w:hAnsi="Times New Roman"/>
        </w:rPr>
        <w:br/>
        <w:t> </w:t>
      </w:r>
      <w:r>
        <w:rPr>
          <w:rFonts w:ascii="Times New Roman" w:hAnsi="Times New Roman"/>
        </w:rPr>
        <w:br/>
        <w:t>Boumediene v. Bush, 553 U.S. 723 (2008)</w:t>
      </w:r>
      <w:r>
        <w:rPr>
          <w:rFonts w:ascii="Times New Roman" w:hAnsi="Times New Roman"/>
        </w:rPr>
        <w:br/>
        <w:t> </w:t>
      </w:r>
      <w:r>
        <w:rPr>
          <w:rFonts w:ascii="Times New Roman" w:hAnsi="Times New Roman"/>
        </w:rPr>
        <w:br/>
      </w:r>
      <w:r>
        <w:rPr>
          <w:rFonts w:ascii="Times New Roman" w:hAnsi="Times New Roman"/>
          <w:i/>
        </w:rPr>
        <w:t xml:space="preserve">Note: Should you wish to excel in regional competitions, I would urge you to begin reading these cases </w:t>
      </w:r>
      <w:r>
        <w:rPr>
          <w:rFonts w:ascii="Times New Roman" w:hAnsi="Times New Roman"/>
          <w:b/>
          <w:i/>
        </w:rPr>
        <w:t>immediately</w:t>
      </w:r>
      <w:r>
        <w:rPr>
          <w:rFonts w:ascii="Times New Roman" w:hAnsi="Times New Roman"/>
          <w:i/>
        </w:rPr>
        <w:t>.  </w:t>
      </w:r>
    </w:p>
    <w:sectPr w:rsidR="000C0C14" w:rsidRPr="00B45FF6" w:rsidSect="000C0C14">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savePreviewPicture/>
  <w:compat>
    <w:doNotAutofitConstrainedTables/>
    <w:splitPgBreakAndParaMark/>
    <w:doNotVertAlignCellWithSp/>
    <w:doNotBreakConstrainedForcedTable/>
    <w:useAnsiKerningPairs/>
    <w:cachedColBalance/>
  </w:compat>
  <w:rsids>
    <w:rsidRoot w:val="00696D84"/>
    <w:rsid w:val="000C0C14"/>
    <w:rsid w:val="00696D84"/>
    <w:rsid w:val="00B45FF6"/>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A8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96D8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cmamootcourt.org/uploads/3/0/1/9/3019175/2013-2014_acma_case.pdf" TargetMode="External"/><Relationship Id="rId5" Type="http://schemas.openxmlformats.org/officeDocument/2006/relationships/hyperlink" Target="http://www.amazon.com/The-Little-Book-Oral-Argument/dp/0837705576" TargetMode="External"/><Relationship Id="rId6" Type="http://schemas.openxmlformats.org/officeDocument/2006/relationships/hyperlink" Target="http://www.amazon.com/Please-Court-Teaching-Texts-Politics/dp/0820469491/ref=sr_1_1?s=books&amp;ie=UTF8&amp;qid=1374743733&amp;sr=1-1&amp;keywords=how+to+please+the+court" TargetMode="External"/><Relationship Id="rId7" Type="http://schemas.openxmlformats.org/officeDocument/2006/relationships/hyperlink" Target="http://www.amazon.com/Appellate-Advocacy-Court-University-Casebook/dp/1587789787"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400</Words>
  <Characters>2285</Characters>
  <Application>Microsoft Macintosh Word</Application>
  <DocSecurity>0</DocSecurity>
  <Lines>19</Lines>
  <Paragraphs>4</Paragraphs>
  <ScaleCrop>false</ScaleCrop>
  <Company>University of Texas at Arlington</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Bateman</dc:creator>
  <cp:keywords/>
  <cp:lastModifiedBy>Oliver Bateman</cp:lastModifiedBy>
  <cp:revision>2</cp:revision>
  <dcterms:created xsi:type="dcterms:W3CDTF">2013-07-25T09:10:00Z</dcterms:created>
  <dcterms:modified xsi:type="dcterms:W3CDTF">2013-07-25T09:24:00Z</dcterms:modified>
</cp:coreProperties>
</file>