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8B" w:rsidRDefault="00547F8B" w:rsidP="00547F8B">
      <w:pPr>
        <w:jc w:val="center"/>
        <w:rPr>
          <w:rFonts w:ascii="Arial" w:hAnsi="Arial" w:cs="Arial"/>
          <w:sz w:val="21"/>
          <w:szCs w:val="21"/>
        </w:rPr>
      </w:pPr>
      <w:r>
        <w:rPr>
          <w:rFonts w:ascii="Arial" w:hAnsi="Arial" w:cs="Arial"/>
          <w:b/>
          <w:sz w:val="21"/>
          <w:szCs w:val="21"/>
        </w:rPr>
        <w:t xml:space="preserve">HIST </w:t>
      </w:r>
      <w:r w:rsidR="00774D38">
        <w:rPr>
          <w:rFonts w:ascii="Arial" w:hAnsi="Arial" w:cs="Arial"/>
          <w:b/>
          <w:sz w:val="21"/>
          <w:szCs w:val="21"/>
        </w:rPr>
        <w:t>4101: Moot Court Practicum</w:t>
      </w:r>
    </w:p>
    <w:p w:rsidR="00547F8B" w:rsidRPr="0016052E" w:rsidRDefault="007A2F0A" w:rsidP="00547F8B">
      <w:pPr>
        <w:jc w:val="center"/>
        <w:rPr>
          <w:rFonts w:ascii="Arial" w:hAnsi="Arial" w:cs="Arial"/>
          <w:sz w:val="21"/>
          <w:szCs w:val="21"/>
        </w:rPr>
      </w:pPr>
      <w:r>
        <w:rPr>
          <w:rFonts w:ascii="Arial" w:hAnsi="Arial" w:cs="Arial"/>
          <w:sz w:val="21"/>
          <w:szCs w:val="21"/>
        </w:rPr>
        <w:t>Fall 2014</w:t>
      </w:r>
    </w:p>
    <w:p w:rsidR="00547F8B" w:rsidRPr="0016052E" w:rsidRDefault="00547F8B" w:rsidP="00547F8B">
      <w:pPr>
        <w:rPr>
          <w:rFonts w:ascii="Arial" w:hAnsi="Arial" w:cs="Arial"/>
          <w:sz w:val="21"/>
          <w:szCs w:val="21"/>
        </w:rPr>
      </w:pPr>
    </w:p>
    <w:p w:rsidR="00B336FD" w:rsidRDefault="008619C2" w:rsidP="00547F8B">
      <w:pPr>
        <w:rPr>
          <w:rFonts w:ascii="Arial" w:hAnsi="Arial" w:cs="Arial"/>
          <w:sz w:val="21"/>
          <w:szCs w:val="21"/>
        </w:rPr>
      </w:pPr>
      <w:r>
        <w:rPr>
          <w:rFonts w:ascii="Arial" w:hAnsi="Arial" w:cs="Arial"/>
          <w:b/>
          <w:sz w:val="21"/>
          <w:szCs w:val="21"/>
        </w:rPr>
        <w:t>Instructor</w:t>
      </w:r>
      <w:r w:rsidR="00547F8B" w:rsidRPr="0016052E">
        <w:rPr>
          <w:rFonts w:ascii="Arial" w:hAnsi="Arial" w:cs="Arial"/>
          <w:b/>
          <w:sz w:val="21"/>
          <w:szCs w:val="21"/>
        </w:rPr>
        <w:t xml:space="preserve">: </w:t>
      </w:r>
      <w:r w:rsidR="00222E7F">
        <w:rPr>
          <w:rFonts w:ascii="Arial" w:hAnsi="Arial" w:cs="Arial"/>
          <w:sz w:val="21"/>
          <w:szCs w:val="21"/>
        </w:rPr>
        <w:t>Oliver Lee Bateman</w:t>
      </w:r>
    </w:p>
    <w:p w:rsidR="00B336FD" w:rsidRDefault="00B336FD" w:rsidP="00547F8B">
      <w:pPr>
        <w:rPr>
          <w:rFonts w:ascii="Arial" w:hAnsi="Arial" w:cs="Arial"/>
          <w:sz w:val="21"/>
          <w:szCs w:val="21"/>
        </w:rPr>
      </w:pPr>
    </w:p>
    <w:p w:rsidR="00AF6606" w:rsidRDefault="00B336FD" w:rsidP="00547F8B">
      <w:pPr>
        <w:rPr>
          <w:rFonts w:ascii="Arial" w:hAnsi="Arial" w:cs="Arial"/>
          <w:sz w:val="21"/>
          <w:szCs w:val="21"/>
        </w:rPr>
      </w:pPr>
      <w:r>
        <w:rPr>
          <w:rFonts w:ascii="Arial" w:hAnsi="Arial" w:cs="Arial"/>
          <w:b/>
          <w:sz w:val="21"/>
          <w:szCs w:val="21"/>
        </w:rPr>
        <w:t xml:space="preserve">Moot Court Advisors:  </w:t>
      </w:r>
      <w:proofErr w:type="gramStart"/>
      <w:r w:rsidR="00AF6606">
        <w:rPr>
          <w:rFonts w:ascii="Arial" w:hAnsi="Arial" w:cs="Arial"/>
          <w:sz w:val="21"/>
          <w:szCs w:val="21"/>
        </w:rPr>
        <w:t>An</w:t>
      </w:r>
      <w:proofErr w:type="gramEnd"/>
      <w:r w:rsidR="00AF6606">
        <w:rPr>
          <w:rFonts w:ascii="Arial" w:hAnsi="Arial" w:cs="Arial"/>
          <w:sz w:val="21"/>
          <w:szCs w:val="21"/>
        </w:rPr>
        <w:t xml:space="preserve"> Lee Hsu</w:t>
      </w:r>
    </w:p>
    <w:p w:rsidR="00547F8B" w:rsidRPr="00AF6606" w:rsidRDefault="00AF6606" w:rsidP="00547F8B">
      <w:pPr>
        <w:rPr>
          <w:rFonts w:ascii="Arial" w:hAnsi="Arial" w:cs="Arial"/>
          <w:sz w:val="21"/>
          <w:szCs w:val="21"/>
        </w:rPr>
      </w:pPr>
      <w:r>
        <w:rPr>
          <w:rFonts w:ascii="Arial" w:hAnsi="Arial" w:cs="Arial"/>
          <w:sz w:val="21"/>
          <w:szCs w:val="21"/>
        </w:rPr>
        <w:t>Michael Martinez</w:t>
      </w:r>
    </w:p>
    <w:p w:rsidR="00547F8B" w:rsidRPr="0016052E" w:rsidRDefault="00547F8B" w:rsidP="00547F8B">
      <w:pPr>
        <w:rPr>
          <w:rFonts w:ascii="Arial" w:hAnsi="Arial" w:cs="Arial"/>
          <w:b/>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Number: </w:t>
      </w:r>
      <w:r w:rsidR="00222E7F">
        <w:rPr>
          <w:rFonts w:ascii="Arial" w:hAnsi="Arial" w:cs="Arial"/>
          <w:sz w:val="21"/>
          <w:szCs w:val="21"/>
        </w:rPr>
        <w:t xml:space="preserve">UNIVERSITY HALL, ROOM </w:t>
      </w:r>
      <w:r w:rsidR="00FD06BD">
        <w:rPr>
          <w:rFonts w:ascii="Arial" w:hAnsi="Arial" w:cs="Arial"/>
          <w:sz w:val="21"/>
          <w:szCs w:val="21"/>
        </w:rPr>
        <w:t>329</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Telephone Number: </w:t>
      </w:r>
      <w:r w:rsidR="00222E7F" w:rsidRPr="00222E7F">
        <w:rPr>
          <w:rFonts w:ascii="Arial" w:hAnsi="Arial" w:cs="Arial"/>
          <w:b/>
          <w:sz w:val="21"/>
          <w:szCs w:val="21"/>
        </w:rPr>
        <w:t>817-272-2861</w:t>
      </w:r>
    </w:p>
    <w:p w:rsidR="00547F8B" w:rsidRPr="0016052E" w:rsidRDefault="00547F8B" w:rsidP="00547F8B">
      <w:pPr>
        <w:rPr>
          <w:rFonts w:ascii="Arial" w:hAnsi="Arial" w:cs="Arial"/>
          <w:b/>
          <w:sz w:val="21"/>
          <w:szCs w:val="21"/>
        </w:rPr>
      </w:pPr>
    </w:p>
    <w:p w:rsidR="00547F8B" w:rsidRPr="00920E54" w:rsidRDefault="00547F8B" w:rsidP="00547F8B">
      <w:pPr>
        <w:rPr>
          <w:rFonts w:ascii="Arial" w:hAnsi="Arial" w:cs="Arial"/>
          <w:sz w:val="21"/>
          <w:szCs w:val="21"/>
        </w:rPr>
      </w:pPr>
      <w:r w:rsidRPr="00920E54">
        <w:rPr>
          <w:rFonts w:ascii="Arial" w:hAnsi="Arial" w:cs="Arial"/>
          <w:b/>
          <w:sz w:val="21"/>
          <w:szCs w:val="21"/>
        </w:rPr>
        <w:t xml:space="preserve">Email Address: </w:t>
      </w:r>
      <w:r w:rsidR="00222E7F">
        <w:rPr>
          <w:rFonts w:ascii="Arial" w:hAnsi="Arial" w:cs="Arial"/>
          <w:sz w:val="21"/>
          <w:szCs w:val="21"/>
        </w:rPr>
        <w:t>oliver.bateman@uta.edu</w:t>
      </w:r>
    </w:p>
    <w:p w:rsidR="00547F8B" w:rsidRPr="00A470FF" w:rsidRDefault="00547F8B" w:rsidP="00547F8B">
      <w:pPr>
        <w:rPr>
          <w:rFonts w:ascii="Arial" w:hAnsi="Arial" w:cs="Arial"/>
          <w:sz w:val="21"/>
          <w:szCs w:val="21"/>
        </w:rPr>
      </w:pPr>
    </w:p>
    <w:p w:rsidR="00547F8B" w:rsidRPr="00A470FF" w:rsidRDefault="00547F8B" w:rsidP="00547F8B">
      <w:pPr>
        <w:rPr>
          <w:rFonts w:ascii="Arial" w:hAnsi="Arial" w:cs="Arial"/>
          <w:color w:val="FF0000"/>
          <w:sz w:val="21"/>
          <w:szCs w:val="21"/>
        </w:rPr>
      </w:pPr>
      <w:r w:rsidRPr="00A470FF">
        <w:rPr>
          <w:rFonts w:ascii="Arial" w:hAnsi="Arial" w:cs="Arial"/>
          <w:b/>
          <w:sz w:val="21"/>
          <w:szCs w:val="21"/>
        </w:rPr>
        <w:t>Office Hours:</w:t>
      </w:r>
      <w:r w:rsidR="00AF6606">
        <w:rPr>
          <w:rFonts w:ascii="Arial" w:hAnsi="Arial" w:cs="Arial"/>
          <w:sz w:val="21"/>
          <w:szCs w:val="21"/>
        </w:rPr>
        <w:t xml:space="preserve"> 11:00 a.m.-12:20 p.m.</w:t>
      </w:r>
      <w:r w:rsidR="00C33C1A">
        <w:rPr>
          <w:rFonts w:ascii="Arial" w:hAnsi="Arial" w:cs="Arial"/>
          <w:sz w:val="21"/>
          <w:szCs w:val="21"/>
        </w:rPr>
        <w:t>, T</w:t>
      </w:r>
      <w:r w:rsidR="00B336FD">
        <w:rPr>
          <w:rFonts w:ascii="Arial" w:hAnsi="Arial" w:cs="Arial"/>
          <w:sz w:val="21"/>
          <w:szCs w:val="21"/>
        </w:rPr>
        <w:t>uesday (class) and Thursday (club meeting)</w:t>
      </w:r>
    </w:p>
    <w:p w:rsidR="00547F8B" w:rsidRPr="00A470FF" w:rsidRDefault="00547F8B" w:rsidP="00547F8B">
      <w:pPr>
        <w:rPr>
          <w:rFonts w:ascii="Arial" w:hAnsi="Arial" w:cs="Arial"/>
          <w:b/>
          <w:sz w:val="21"/>
          <w:szCs w:val="21"/>
        </w:rPr>
      </w:pPr>
      <w:r w:rsidRPr="00A470FF">
        <w:rPr>
          <w:rFonts w:ascii="Arial" w:hAnsi="Arial" w:cs="Arial"/>
          <w:b/>
          <w:sz w:val="21"/>
          <w:szCs w:val="21"/>
        </w:rPr>
        <w:t xml:space="preserve"> </w:t>
      </w:r>
    </w:p>
    <w:p w:rsidR="00547F8B" w:rsidRPr="0016052E" w:rsidRDefault="00547F8B" w:rsidP="00AF6606">
      <w:pPr>
        <w:rPr>
          <w:rFonts w:ascii="Arial" w:hAnsi="Arial" w:cs="Arial"/>
          <w:sz w:val="21"/>
          <w:szCs w:val="21"/>
        </w:rPr>
      </w:pPr>
      <w:r w:rsidRPr="0016052E">
        <w:rPr>
          <w:rFonts w:ascii="Arial" w:hAnsi="Arial" w:cs="Arial"/>
          <w:b/>
          <w:sz w:val="21"/>
          <w:szCs w:val="21"/>
        </w:rPr>
        <w:t xml:space="preserve">Time and Place of Class Meetings: </w:t>
      </w:r>
      <w:r w:rsidR="00AF6606">
        <w:t>UNIVERSITY HALL, ROOM 08</w:t>
      </w:r>
    </w:p>
    <w:p w:rsidR="00547F8B" w:rsidRPr="0016052E" w:rsidRDefault="00547F8B" w:rsidP="00547F8B">
      <w:pPr>
        <w:rPr>
          <w:rFonts w:ascii="Arial" w:hAnsi="Arial" w:cs="Arial"/>
          <w:b/>
          <w:sz w:val="21"/>
          <w:szCs w:val="21"/>
        </w:rPr>
      </w:pPr>
    </w:p>
    <w:p w:rsidR="00525561" w:rsidRDefault="00547F8B" w:rsidP="00525561">
      <w:pPr>
        <w:jc w:val="both"/>
        <w:rPr>
          <w:rFonts w:ascii="Times New Roman" w:hAnsi="Times New Roman"/>
          <w:sz w:val="24"/>
          <w:szCs w:val="24"/>
        </w:rPr>
      </w:pPr>
      <w:r w:rsidRPr="0016052E">
        <w:rPr>
          <w:rFonts w:ascii="Arial" w:hAnsi="Arial" w:cs="Arial"/>
          <w:b/>
          <w:sz w:val="21"/>
          <w:szCs w:val="21"/>
        </w:rPr>
        <w:t xml:space="preserve">Description of Course Content: </w:t>
      </w:r>
      <w:r w:rsidR="00774D38">
        <w:rPr>
          <w:rFonts w:ascii="Times New Roman" w:hAnsi="Times New Roman"/>
        </w:rPr>
        <w:t>This course will prepare students to participate in moot court competitions, which simulate the experience of arguing a constitutional case before the Supreme Court. Teams from UTA will compete in local, regional and national competitions. Moot court is a highly profitable exercise that acquaints students with existing case law, hones their forensic and analytical skills, and puts them in contact with legal scholars and practicing members of the legal community. Even students who do not travel to competitions will derive many advantages from their participation in this course.</w:t>
      </w:r>
      <w:r w:rsidR="00AF6606">
        <w:rPr>
          <w:rFonts w:ascii="Times New Roman" w:hAnsi="Times New Roman"/>
        </w:rPr>
        <w:t xml:space="preserve">  Local attorneys An Lee Hsu and Michael Martinez, who were both accomplished members of the Texas Tech University School of Law Moot Court program, will be assisting the team this semester.  </w:t>
      </w:r>
    </w:p>
    <w:p w:rsidR="00547F8B" w:rsidRPr="0016052E" w:rsidRDefault="00547F8B" w:rsidP="00525561">
      <w:pPr>
        <w:jc w:val="both"/>
        <w:rPr>
          <w:rFonts w:ascii="Arial" w:hAnsi="Arial" w:cs="Arial"/>
          <w:sz w:val="21"/>
          <w:szCs w:val="21"/>
        </w:rPr>
      </w:pPr>
    </w:p>
    <w:p w:rsidR="00525561" w:rsidRDefault="00547F8B" w:rsidP="00525561">
      <w:pPr>
        <w:rPr>
          <w:rFonts w:ascii="Arial" w:hAnsi="Arial" w:cs="Arial"/>
          <w:b/>
          <w:sz w:val="21"/>
          <w:szCs w:val="21"/>
        </w:rPr>
      </w:pPr>
      <w:r w:rsidRPr="0016052E">
        <w:rPr>
          <w:rFonts w:ascii="Arial" w:hAnsi="Arial" w:cs="Arial"/>
          <w:b/>
          <w:sz w:val="21"/>
          <w:szCs w:val="21"/>
        </w:rPr>
        <w:t xml:space="preserve">Student Learning Outcomes: </w:t>
      </w:r>
    </w:p>
    <w:p w:rsidR="00774D38" w:rsidRPr="00774D38" w:rsidRDefault="00774D38" w:rsidP="00774D38">
      <w:pPr>
        <w:jc w:val="both"/>
        <w:rPr>
          <w:rFonts w:ascii="Times New Roman" w:hAnsi="Times New Roman"/>
          <w:sz w:val="24"/>
          <w:szCs w:val="24"/>
        </w:rPr>
      </w:pPr>
    </w:p>
    <w:p w:rsidR="00774D38" w:rsidRPr="00774D38" w:rsidRDefault="00774D38" w:rsidP="00774D38">
      <w:pPr>
        <w:jc w:val="both"/>
        <w:rPr>
          <w:rFonts w:ascii="Times New Roman" w:hAnsi="Times New Roman"/>
          <w:sz w:val="24"/>
          <w:szCs w:val="24"/>
        </w:rPr>
      </w:pPr>
      <w:r w:rsidRPr="00774D38">
        <w:rPr>
          <w:rFonts w:ascii="Times New Roman" w:hAnsi="Times New Roman"/>
          <w:sz w:val="24"/>
          <w:szCs w:val="24"/>
        </w:rPr>
        <w:t>1. Familiarize students with a hypothetical appellate case and the ap</w:t>
      </w:r>
      <w:r>
        <w:rPr>
          <w:rFonts w:ascii="Times New Roman" w:hAnsi="Times New Roman"/>
          <w:sz w:val="24"/>
          <w:szCs w:val="24"/>
        </w:rPr>
        <w:t>propriate precedents.</w:t>
      </w:r>
    </w:p>
    <w:p w:rsidR="00774D38" w:rsidRPr="00774D38" w:rsidRDefault="00774D38" w:rsidP="00774D38">
      <w:pPr>
        <w:jc w:val="both"/>
        <w:rPr>
          <w:rFonts w:ascii="Times New Roman" w:hAnsi="Times New Roman"/>
          <w:sz w:val="24"/>
          <w:szCs w:val="24"/>
        </w:rPr>
      </w:pPr>
      <w:r w:rsidRPr="00774D38">
        <w:rPr>
          <w:rFonts w:ascii="Times New Roman" w:hAnsi="Times New Roman"/>
          <w:sz w:val="24"/>
          <w:szCs w:val="24"/>
        </w:rPr>
        <w:t xml:space="preserve"> </w:t>
      </w:r>
    </w:p>
    <w:p w:rsidR="00774D38" w:rsidRPr="00774D38" w:rsidRDefault="00774D38" w:rsidP="00774D38">
      <w:pPr>
        <w:jc w:val="both"/>
        <w:rPr>
          <w:rFonts w:ascii="Times New Roman" w:hAnsi="Times New Roman"/>
          <w:sz w:val="24"/>
          <w:szCs w:val="24"/>
        </w:rPr>
      </w:pPr>
      <w:r w:rsidRPr="00774D38">
        <w:rPr>
          <w:rFonts w:ascii="Times New Roman" w:hAnsi="Times New Roman"/>
          <w:sz w:val="24"/>
          <w:szCs w:val="24"/>
        </w:rPr>
        <w:t>2. Develop the capacity for oral argument i</w:t>
      </w:r>
      <w:r>
        <w:rPr>
          <w:rFonts w:ascii="Times New Roman" w:hAnsi="Times New Roman"/>
          <w:sz w:val="24"/>
          <w:szCs w:val="24"/>
        </w:rPr>
        <w:t xml:space="preserve">n an appellate judicial setting. </w:t>
      </w:r>
    </w:p>
    <w:p w:rsidR="00774D38" w:rsidRPr="00774D38" w:rsidRDefault="00774D38" w:rsidP="00774D38">
      <w:pPr>
        <w:jc w:val="both"/>
        <w:rPr>
          <w:rFonts w:ascii="Times New Roman" w:hAnsi="Times New Roman"/>
          <w:sz w:val="24"/>
          <w:szCs w:val="24"/>
        </w:rPr>
      </w:pPr>
      <w:r w:rsidRPr="00774D38">
        <w:rPr>
          <w:rFonts w:ascii="Times New Roman" w:hAnsi="Times New Roman"/>
          <w:sz w:val="24"/>
          <w:szCs w:val="24"/>
        </w:rPr>
        <w:t xml:space="preserve"> </w:t>
      </w:r>
    </w:p>
    <w:p w:rsidR="00774D38" w:rsidRPr="00774D38" w:rsidRDefault="00774D38" w:rsidP="00774D38">
      <w:pPr>
        <w:jc w:val="both"/>
        <w:rPr>
          <w:rFonts w:ascii="Times New Roman" w:hAnsi="Times New Roman"/>
          <w:sz w:val="24"/>
          <w:szCs w:val="24"/>
        </w:rPr>
      </w:pPr>
      <w:r w:rsidRPr="00774D38">
        <w:rPr>
          <w:rFonts w:ascii="Times New Roman" w:hAnsi="Times New Roman"/>
          <w:sz w:val="24"/>
          <w:szCs w:val="24"/>
        </w:rPr>
        <w:t>3. Develop the capacity for analytical legal think</w:t>
      </w:r>
      <w:r>
        <w:rPr>
          <w:rFonts w:ascii="Times New Roman" w:hAnsi="Times New Roman"/>
          <w:sz w:val="24"/>
          <w:szCs w:val="24"/>
        </w:rPr>
        <w:t>ing.</w:t>
      </w:r>
    </w:p>
    <w:p w:rsidR="00547F8B" w:rsidRPr="00920E54" w:rsidRDefault="00547F8B" w:rsidP="00525561">
      <w:pPr>
        <w:jc w:val="both"/>
        <w:rPr>
          <w:rFonts w:ascii="Arial" w:hAnsi="Arial" w:cs="Arial"/>
          <w:color w:val="FF0000"/>
          <w:sz w:val="21"/>
          <w:szCs w:val="21"/>
        </w:rPr>
      </w:pPr>
    </w:p>
    <w:p w:rsidR="00547F8B" w:rsidRPr="0016052E" w:rsidRDefault="00547F8B" w:rsidP="00547F8B">
      <w:pPr>
        <w:rPr>
          <w:rFonts w:ascii="Arial" w:hAnsi="Arial" w:cs="Arial"/>
          <w:b/>
          <w:sz w:val="21"/>
          <w:szCs w:val="21"/>
        </w:rPr>
      </w:pPr>
    </w:p>
    <w:p w:rsidR="00B336FD" w:rsidRDefault="00547F8B" w:rsidP="00774D38">
      <w:pPr>
        <w:rPr>
          <w:rFonts w:ascii="Arial" w:hAnsi="Arial"/>
          <w:bCs/>
          <w:sz w:val="21"/>
        </w:rPr>
      </w:pPr>
      <w:r w:rsidRPr="0016052E">
        <w:rPr>
          <w:rFonts w:ascii="Arial" w:hAnsi="Arial" w:cs="Arial"/>
          <w:b/>
          <w:sz w:val="21"/>
          <w:szCs w:val="21"/>
        </w:rPr>
        <w:t xml:space="preserve">Textbooks and Other Course Materials: </w:t>
      </w:r>
      <w:r w:rsidR="00B336FD">
        <w:rPr>
          <w:rFonts w:ascii="Arial" w:hAnsi="Arial"/>
          <w:bCs/>
          <w:sz w:val="21"/>
        </w:rPr>
        <w:t xml:space="preserve">2014-2015 Official Moot Court Problem, available at </w:t>
      </w:r>
      <w:hyperlink r:id="rId5" w:history="1">
        <w:r w:rsidR="00B336FD" w:rsidRPr="00011761">
          <w:rPr>
            <w:rStyle w:val="Hyperlink"/>
            <w:rFonts w:ascii="Arial" w:hAnsi="Arial"/>
            <w:bCs/>
            <w:sz w:val="21"/>
          </w:rPr>
          <w:t>http://tumca.org/5-14/acma_case__2014-2015_1%20May%202014.pdf</w:t>
        </w:r>
      </w:hyperlink>
    </w:p>
    <w:p w:rsidR="00774D38" w:rsidRPr="00774D38" w:rsidRDefault="00774D38" w:rsidP="00774D38">
      <w:pPr>
        <w:rPr>
          <w:rFonts w:ascii="Arial" w:hAnsi="Arial"/>
          <w:bCs/>
          <w:sz w:val="21"/>
        </w:rPr>
      </w:pPr>
    </w:p>
    <w:p w:rsidR="00B336FD" w:rsidRPr="00B336FD" w:rsidRDefault="00B336FD" w:rsidP="00774D38">
      <w:pPr>
        <w:rPr>
          <w:rFonts w:ascii="Arial" w:hAnsi="Arial"/>
          <w:bCs/>
          <w:i/>
          <w:sz w:val="21"/>
        </w:rPr>
      </w:pPr>
      <w:r w:rsidRPr="00B336FD">
        <w:rPr>
          <w:rFonts w:ascii="Arial" w:hAnsi="Arial"/>
          <w:bCs/>
          <w:i/>
          <w:sz w:val="21"/>
        </w:rPr>
        <w:t>(Optional but recommended)</w:t>
      </w:r>
    </w:p>
    <w:p w:rsidR="00B336FD" w:rsidRDefault="00774D38" w:rsidP="00774D38">
      <w:pPr>
        <w:rPr>
          <w:rFonts w:ascii="Arial" w:hAnsi="Arial"/>
          <w:bCs/>
          <w:sz w:val="21"/>
        </w:rPr>
      </w:pPr>
      <w:r w:rsidRPr="00774D38">
        <w:rPr>
          <w:rFonts w:ascii="Arial" w:hAnsi="Arial"/>
          <w:bCs/>
          <w:sz w:val="21"/>
        </w:rPr>
        <w:t xml:space="preserve"> </w:t>
      </w:r>
    </w:p>
    <w:p w:rsidR="00774D38" w:rsidRPr="00774D38" w:rsidRDefault="00774D38" w:rsidP="00774D38">
      <w:pPr>
        <w:rPr>
          <w:rFonts w:ascii="Arial" w:hAnsi="Arial"/>
          <w:bCs/>
          <w:sz w:val="21"/>
        </w:rPr>
      </w:pPr>
      <w:r w:rsidRPr="00774D38">
        <w:rPr>
          <w:rFonts w:ascii="Arial" w:hAnsi="Arial"/>
          <w:bCs/>
          <w:sz w:val="21"/>
        </w:rPr>
        <w:t xml:space="preserve">Alan </w:t>
      </w:r>
      <w:proofErr w:type="spellStart"/>
      <w:r w:rsidRPr="00774D38">
        <w:rPr>
          <w:rFonts w:ascii="Arial" w:hAnsi="Arial"/>
          <w:bCs/>
          <w:sz w:val="21"/>
        </w:rPr>
        <w:t>Dworsky</w:t>
      </w:r>
      <w:proofErr w:type="spellEnd"/>
      <w:r w:rsidRPr="00774D38">
        <w:rPr>
          <w:rFonts w:ascii="Arial" w:hAnsi="Arial"/>
          <w:bCs/>
          <w:sz w:val="21"/>
        </w:rPr>
        <w:t>, The Little Book on Oral</w:t>
      </w:r>
      <w:r>
        <w:rPr>
          <w:rFonts w:ascii="Arial" w:hAnsi="Arial"/>
          <w:bCs/>
          <w:sz w:val="21"/>
        </w:rPr>
        <w:t xml:space="preserve"> Argument (Rothman &amp; Co., 1991).</w:t>
      </w:r>
    </w:p>
    <w:p w:rsidR="00774D38" w:rsidRPr="00774D38" w:rsidRDefault="00774D38" w:rsidP="00774D38">
      <w:pPr>
        <w:rPr>
          <w:rFonts w:ascii="Arial" w:hAnsi="Arial"/>
          <w:bCs/>
          <w:sz w:val="21"/>
        </w:rPr>
      </w:pPr>
    </w:p>
    <w:p w:rsidR="00774D38" w:rsidRPr="00774D38" w:rsidRDefault="00774D38" w:rsidP="00774D38">
      <w:pPr>
        <w:rPr>
          <w:rFonts w:ascii="Arial" w:hAnsi="Arial"/>
          <w:bCs/>
          <w:sz w:val="21"/>
        </w:rPr>
      </w:pPr>
      <w:r w:rsidRPr="00774D38">
        <w:rPr>
          <w:rFonts w:ascii="Arial" w:hAnsi="Arial"/>
          <w:bCs/>
          <w:sz w:val="21"/>
        </w:rPr>
        <w:t xml:space="preserve">Paul </w:t>
      </w:r>
      <w:proofErr w:type="spellStart"/>
      <w:r w:rsidRPr="00774D38">
        <w:rPr>
          <w:rFonts w:ascii="Arial" w:hAnsi="Arial"/>
          <w:bCs/>
          <w:sz w:val="21"/>
        </w:rPr>
        <w:t>Weizer</w:t>
      </w:r>
      <w:proofErr w:type="spellEnd"/>
      <w:r w:rsidRPr="00774D38">
        <w:rPr>
          <w:rFonts w:ascii="Arial" w:hAnsi="Arial"/>
          <w:bCs/>
          <w:sz w:val="21"/>
        </w:rPr>
        <w:t>, How to Please the Court: A Moot Court Handbook</w:t>
      </w:r>
      <w:r>
        <w:rPr>
          <w:rFonts w:ascii="Arial" w:hAnsi="Arial"/>
          <w:bCs/>
          <w:sz w:val="21"/>
        </w:rPr>
        <w:t xml:space="preserve"> (Peter Lang Publishing, 2004).</w:t>
      </w:r>
    </w:p>
    <w:p w:rsidR="00774D38" w:rsidRPr="00774D38" w:rsidRDefault="00774D38" w:rsidP="00774D38">
      <w:pPr>
        <w:rPr>
          <w:rFonts w:ascii="Arial" w:hAnsi="Arial"/>
          <w:bCs/>
          <w:sz w:val="21"/>
        </w:rPr>
      </w:pPr>
    </w:p>
    <w:p w:rsidR="00774D38" w:rsidRPr="00774D38" w:rsidRDefault="00774D38" w:rsidP="00774D38">
      <w:pPr>
        <w:rPr>
          <w:rFonts w:ascii="Arial" w:hAnsi="Arial"/>
          <w:bCs/>
          <w:sz w:val="21"/>
        </w:rPr>
      </w:pPr>
      <w:proofErr w:type="gramStart"/>
      <w:r w:rsidRPr="00774D38">
        <w:rPr>
          <w:rFonts w:ascii="Arial" w:hAnsi="Arial"/>
          <w:bCs/>
          <w:sz w:val="21"/>
        </w:rPr>
        <w:t xml:space="preserve">Michael Murray and Christy </w:t>
      </w:r>
      <w:proofErr w:type="spellStart"/>
      <w:r w:rsidRPr="00774D38">
        <w:rPr>
          <w:rFonts w:ascii="Arial" w:hAnsi="Arial"/>
          <w:bCs/>
          <w:sz w:val="21"/>
        </w:rPr>
        <w:t>DeSanctis</w:t>
      </w:r>
      <w:proofErr w:type="spellEnd"/>
      <w:r w:rsidRPr="00774D38">
        <w:rPr>
          <w:rFonts w:ascii="Arial" w:hAnsi="Arial"/>
          <w:bCs/>
          <w:sz w:val="21"/>
        </w:rPr>
        <w:t>, Appellate Advocacy and Moot</w:t>
      </w:r>
      <w:r>
        <w:rPr>
          <w:rFonts w:ascii="Arial" w:hAnsi="Arial"/>
          <w:bCs/>
          <w:sz w:val="21"/>
        </w:rPr>
        <w:t xml:space="preserve"> Court (Foundation Press, 2006).</w:t>
      </w:r>
      <w:proofErr w:type="gramEnd"/>
    </w:p>
    <w:p w:rsidR="00BC550F" w:rsidRPr="00542F2E" w:rsidRDefault="00BC550F" w:rsidP="00774D38">
      <w:pPr>
        <w:rPr>
          <w:rFonts w:ascii="Arial" w:hAnsi="Arial" w:cs="Arial"/>
          <w:sz w:val="21"/>
          <w:szCs w:val="21"/>
        </w:rPr>
      </w:pPr>
    </w:p>
    <w:p w:rsidR="00547F8B" w:rsidRPr="0016052E" w:rsidRDefault="00547F8B" w:rsidP="00547F8B">
      <w:pPr>
        <w:rPr>
          <w:rFonts w:ascii="Arial" w:hAnsi="Arial" w:cs="Arial"/>
          <w:sz w:val="21"/>
          <w:szCs w:val="21"/>
        </w:rPr>
      </w:pPr>
    </w:p>
    <w:p w:rsidR="00525561" w:rsidRPr="00AE1713" w:rsidRDefault="00525561" w:rsidP="00525561">
      <w:pPr>
        <w:rPr>
          <w:rFonts w:ascii="Times New Roman" w:hAnsi="Times New Roman"/>
          <w:sz w:val="24"/>
          <w:szCs w:val="24"/>
        </w:rPr>
      </w:pPr>
      <w:r>
        <w:rPr>
          <w:rFonts w:ascii="Arial" w:hAnsi="Arial"/>
          <w:b/>
          <w:sz w:val="21"/>
        </w:rPr>
        <w:t xml:space="preserve">Course Assignments and </w:t>
      </w:r>
      <w:r w:rsidR="00B774D3">
        <w:rPr>
          <w:rFonts w:ascii="Arial" w:hAnsi="Arial"/>
          <w:b/>
          <w:sz w:val="21"/>
        </w:rPr>
        <w:t xml:space="preserve">Grading: </w:t>
      </w:r>
      <w:r w:rsidRPr="00AE1713">
        <w:rPr>
          <w:rFonts w:ascii="Times New Roman" w:hAnsi="Times New Roman"/>
          <w:sz w:val="24"/>
          <w:szCs w:val="24"/>
        </w:rPr>
        <w:t>Students enrolled in the class will:</w:t>
      </w:r>
    </w:p>
    <w:p w:rsidR="00444DCF" w:rsidRDefault="00444DCF" w:rsidP="00525561">
      <w:pPr>
        <w:rPr>
          <w:rFonts w:ascii="Times New Roman" w:hAnsi="Times New Roman"/>
          <w:sz w:val="24"/>
          <w:szCs w:val="24"/>
        </w:rPr>
      </w:pPr>
    </w:p>
    <w:p w:rsidR="00444DCF" w:rsidRDefault="00444DCF" w:rsidP="00525561">
      <w:pPr>
        <w:rPr>
          <w:rFonts w:ascii="Times New Roman" w:hAnsi="Times New Roman"/>
          <w:sz w:val="24"/>
          <w:szCs w:val="24"/>
        </w:rPr>
      </w:pPr>
      <w:r>
        <w:rPr>
          <w:rFonts w:ascii="Times New Roman" w:hAnsi="Times New Roman"/>
          <w:sz w:val="24"/>
          <w:szCs w:val="24"/>
        </w:rPr>
        <w:t xml:space="preserve">1. </w:t>
      </w:r>
      <w:r w:rsidR="00567493">
        <w:rPr>
          <w:rFonts w:ascii="Times New Roman" w:hAnsi="Times New Roman"/>
          <w:sz w:val="24"/>
          <w:szCs w:val="24"/>
        </w:rPr>
        <w:t>Complete three</w:t>
      </w:r>
      <w:r w:rsidR="00774D38">
        <w:rPr>
          <w:rFonts w:ascii="Times New Roman" w:hAnsi="Times New Roman"/>
          <w:sz w:val="24"/>
          <w:szCs w:val="24"/>
        </w:rPr>
        <w:t xml:space="preserve"> timed, graded “run-throughs” of the case problem du</w:t>
      </w:r>
      <w:r w:rsidR="00567493">
        <w:rPr>
          <w:rFonts w:ascii="Times New Roman" w:hAnsi="Times New Roman"/>
          <w:sz w:val="24"/>
          <w:szCs w:val="24"/>
        </w:rPr>
        <w:t>ring the course of the Fall 2014</w:t>
      </w:r>
      <w:r w:rsidR="00774D38">
        <w:rPr>
          <w:rFonts w:ascii="Times New Roman" w:hAnsi="Times New Roman"/>
          <w:sz w:val="24"/>
          <w:szCs w:val="24"/>
        </w:rPr>
        <w:t xml:space="preserve"> semester (50% of final grade).</w:t>
      </w:r>
    </w:p>
    <w:p w:rsidR="00444DCF" w:rsidRDefault="00444DCF" w:rsidP="00525561">
      <w:pPr>
        <w:rPr>
          <w:rFonts w:ascii="Times New Roman" w:hAnsi="Times New Roman"/>
          <w:sz w:val="24"/>
          <w:szCs w:val="24"/>
        </w:rPr>
      </w:pPr>
    </w:p>
    <w:p w:rsidR="00774D38" w:rsidRDefault="00774D38" w:rsidP="00525561">
      <w:pPr>
        <w:rPr>
          <w:rFonts w:ascii="Times New Roman" w:hAnsi="Times New Roman"/>
          <w:sz w:val="24"/>
          <w:szCs w:val="24"/>
        </w:rPr>
      </w:pPr>
      <w:r>
        <w:rPr>
          <w:rFonts w:ascii="Times New Roman" w:hAnsi="Times New Roman"/>
          <w:sz w:val="24"/>
          <w:szCs w:val="24"/>
        </w:rPr>
        <w:t xml:space="preserve">2. For each case listed on the syllabus, prepare a two-page case brief (see “How to Brief A Case” document, available via Blackboard) that addresses the following:  </w:t>
      </w:r>
    </w:p>
    <w:p w:rsidR="00774D38" w:rsidRDefault="00774D38" w:rsidP="00525561">
      <w:pPr>
        <w:rPr>
          <w:rFonts w:ascii="Times New Roman" w:hAnsi="Times New Roman"/>
          <w:sz w:val="24"/>
          <w:szCs w:val="24"/>
        </w:rPr>
      </w:pPr>
    </w:p>
    <w:p w:rsidR="00774D38" w:rsidRPr="004D7925" w:rsidRDefault="00774D38" w:rsidP="00774D38">
      <w:pPr>
        <w:rPr>
          <w:rFonts w:ascii="Arial" w:hAnsi="Arial" w:cs="Arial"/>
          <w:sz w:val="21"/>
          <w:szCs w:val="21"/>
        </w:rPr>
      </w:pPr>
      <w:r>
        <w:rPr>
          <w:rFonts w:ascii="Arial" w:hAnsi="Arial" w:cs="Arial"/>
          <w:sz w:val="21"/>
          <w:szCs w:val="21"/>
        </w:rPr>
        <w:t>a</w:t>
      </w:r>
      <w:r w:rsidRPr="004D7925">
        <w:rPr>
          <w:rFonts w:ascii="Arial" w:hAnsi="Arial" w:cs="Arial"/>
          <w:sz w:val="21"/>
          <w:szCs w:val="21"/>
        </w:rPr>
        <w:t xml:space="preserve">) The relevant </w:t>
      </w:r>
      <w:r w:rsidRPr="004D7925">
        <w:rPr>
          <w:rFonts w:ascii="Arial" w:hAnsi="Arial" w:cs="Arial"/>
          <w:i/>
          <w:sz w:val="21"/>
          <w:szCs w:val="21"/>
        </w:rPr>
        <w:t xml:space="preserve">facts </w:t>
      </w:r>
      <w:r w:rsidRPr="004D7925">
        <w:rPr>
          <w:rFonts w:ascii="Arial" w:hAnsi="Arial" w:cs="Arial"/>
          <w:sz w:val="21"/>
          <w:szCs w:val="21"/>
        </w:rPr>
        <w:t>of the case.</w:t>
      </w:r>
    </w:p>
    <w:p w:rsidR="00774D38" w:rsidRPr="004D7925" w:rsidRDefault="00774D38" w:rsidP="00774D38">
      <w:pPr>
        <w:rPr>
          <w:rFonts w:ascii="Arial" w:hAnsi="Arial" w:cs="Arial"/>
          <w:sz w:val="21"/>
          <w:szCs w:val="21"/>
        </w:rPr>
      </w:pPr>
    </w:p>
    <w:p w:rsidR="00774D38" w:rsidRPr="004D7925" w:rsidRDefault="00774D38" w:rsidP="00774D38">
      <w:pPr>
        <w:rPr>
          <w:rFonts w:ascii="Arial" w:hAnsi="Arial" w:cs="Arial"/>
          <w:sz w:val="21"/>
          <w:szCs w:val="21"/>
        </w:rPr>
      </w:pPr>
      <w:r>
        <w:rPr>
          <w:rFonts w:ascii="Arial" w:hAnsi="Arial" w:cs="Arial"/>
          <w:sz w:val="21"/>
          <w:szCs w:val="21"/>
        </w:rPr>
        <w:t>b</w:t>
      </w:r>
      <w:r w:rsidRPr="004D7925">
        <w:rPr>
          <w:rFonts w:ascii="Arial" w:hAnsi="Arial" w:cs="Arial"/>
          <w:sz w:val="21"/>
          <w:szCs w:val="21"/>
        </w:rPr>
        <w:t xml:space="preserve">) The specific </w:t>
      </w:r>
      <w:r w:rsidRPr="004D7925">
        <w:rPr>
          <w:rFonts w:ascii="Arial" w:hAnsi="Arial" w:cs="Arial"/>
          <w:i/>
          <w:sz w:val="21"/>
          <w:szCs w:val="21"/>
        </w:rPr>
        <w:t xml:space="preserve">holding </w:t>
      </w:r>
      <w:r w:rsidRPr="004D7925">
        <w:rPr>
          <w:rFonts w:ascii="Arial" w:hAnsi="Arial" w:cs="Arial"/>
          <w:sz w:val="21"/>
          <w:szCs w:val="21"/>
        </w:rPr>
        <w:t>of the case, as announced by the writer of the majority opinion.</w:t>
      </w:r>
    </w:p>
    <w:p w:rsidR="00774D38" w:rsidRPr="004D7925" w:rsidRDefault="00774D38" w:rsidP="00774D38">
      <w:pPr>
        <w:rPr>
          <w:rFonts w:ascii="Arial" w:hAnsi="Arial" w:cs="Arial"/>
          <w:sz w:val="21"/>
          <w:szCs w:val="21"/>
        </w:rPr>
      </w:pPr>
    </w:p>
    <w:p w:rsidR="00774D38" w:rsidRPr="004D7925" w:rsidRDefault="00774D38" w:rsidP="00774D38">
      <w:pPr>
        <w:rPr>
          <w:rFonts w:ascii="Arial" w:hAnsi="Arial" w:cs="Arial"/>
          <w:sz w:val="21"/>
          <w:szCs w:val="21"/>
        </w:rPr>
      </w:pPr>
      <w:r>
        <w:rPr>
          <w:rFonts w:ascii="Arial" w:hAnsi="Arial" w:cs="Arial"/>
          <w:sz w:val="21"/>
          <w:szCs w:val="21"/>
        </w:rPr>
        <w:t>c</w:t>
      </w:r>
      <w:r w:rsidRPr="004D7925">
        <w:rPr>
          <w:rFonts w:ascii="Arial" w:hAnsi="Arial" w:cs="Arial"/>
          <w:sz w:val="21"/>
          <w:szCs w:val="21"/>
        </w:rPr>
        <w:t xml:space="preserve">) An analysis of the court’s </w:t>
      </w:r>
      <w:r w:rsidRPr="004D7925">
        <w:rPr>
          <w:rFonts w:ascii="Arial" w:hAnsi="Arial" w:cs="Arial"/>
          <w:i/>
          <w:sz w:val="21"/>
          <w:szCs w:val="21"/>
        </w:rPr>
        <w:t xml:space="preserve">reasoning </w:t>
      </w:r>
      <w:r w:rsidRPr="004D7925">
        <w:rPr>
          <w:rFonts w:ascii="Arial" w:hAnsi="Arial" w:cs="Arial"/>
          <w:sz w:val="21"/>
          <w:szCs w:val="21"/>
        </w:rPr>
        <w:t xml:space="preserve">in reaching its decision, making reference to important </w:t>
      </w:r>
      <w:r w:rsidRPr="004D7925">
        <w:rPr>
          <w:rFonts w:ascii="Arial" w:hAnsi="Arial" w:cs="Arial"/>
          <w:i/>
          <w:sz w:val="21"/>
          <w:szCs w:val="21"/>
        </w:rPr>
        <w:t>precedents</w:t>
      </w:r>
      <w:r w:rsidRPr="004D7925">
        <w:rPr>
          <w:rFonts w:ascii="Arial" w:hAnsi="Arial" w:cs="Arial"/>
          <w:sz w:val="21"/>
          <w:szCs w:val="21"/>
        </w:rPr>
        <w:t xml:space="preserve"> that may have impelled this result.</w:t>
      </w:r>
    </w:p>
    <w:p w:rsidR="00774D38" w:rsidRPr="004D7925" w:rsidRDefault="00774D38" w:rsidP="00774D38">
      <w:pPr>
        <w:rPr>
          <w:rFonts w:ascii="Arial" w:hAnsi="Arial" w:cs="Arial"/>
          <w:sz w:val="21"/>
          <w:szCs w:val="21"/>
        </w:rPr>
      </w:pPr>
    </w:p>
    <w:p w:rsidR="00B336FD" w:rsidRDefault="00774D38" w:rsidP="00774D38">
      <w:pPr>
        <w:rPr>
          <w:rFonts w:ascii="Arial" w:hAnsi="Arial" w:cs="Arial"/>
          <w:sz w:val="21"/>
          <w:szCs w:val="21"/>
        </w:rPr>
      </w:pPr>
      <w:proofErr w:type="gramStart"/>
      <w:r>
        <w:rPr>
          <w:rFonts w:ascii="Arial" w:hAnsi="Arial" w:cs="Arial"/>
          <w:sz w:val="21"/>
          <w:szCs w:val="21"/>
        </w:rPr>
        <w:t>d</w:t>
      </w:r>
      <w:r w:rsidRPr="004D7925">
        <w:rPr>
          <w:rFonts w:ascii="Arial" w:hAnsi="Arial" w:cs="Arial"/>
          <w:sz w:val="21"/>
          <w:szCs w:val="21"/>
        </w:rPr>
        <w:t>)  A</w:t>
      </w:r>
      <w:proofErr w:type="gramEnd"/>
      <w:r w:rsidRPr="004D7925">
        <w:rPr>
          <w:rFonts w:ascii="Arial" w:hAnsi="Arial" w:cs="Arial"/>
          <w:sz w:val="21"/>
          <w:szCs w:val="21"/>
        </w:rPr>
        <w:t xml:space="preserve"> short discussion of the </w:t>
      </w:r>
      <w:r w:rsidRPr="004D7925">
        <w:rPr>
          <w:rFonts w:ascii="Arial" w:hAnsi="Arial" w:cs="Arial"/>
          <w:i/>
          <w:sz w:val="21"/>
          <w:szCs w:val="21"/>
        </w:rPr>
        <w:t>dissent</w:t>
      </w:r>
      <w:r w:rsidRPr="004D7925">
        <w:rPr>
          <w:rFonts w:ascii="Arial" w:hAnsi="Arial" w:cs="Arial"/>
          <w:sz w:val="21"/>
          <w:szCs w:val="21"/>
        </w:rPr>
        <w:t>, in situations where I advise you beforehand that</w:t>
      </w:r>
      <w:r>
        <w:rPr>
          <w:rFonts w:ascii="Arial" w:hAnsi="Arial" w:cs="Arial"/>
          <w:sz w:val="21"/>
          <w:szCs w:val="21"/>
        </w:rPr>
        <w:t xml:space="preserve"> such a discussion is warranted (50% of final grade).</w:t>
      </w:r>
    </w:p>
    <w:p w:rsidR="00B336FD" w:rsidRDefault="00B336FD" w:rsidP="00774D38">
      <w:pPr>
        <w:rPr>
          <w:rFonts w:ascii="Arial" w:hAnsi="Arial" w:cs="Arial"/>
          <w:sz w:val="21"/>
          <w:szCs w:val="21"/>
        </w:rPr>
      </w:pPr>
    </w:p>
    <w:p w:rsidR="00B336FD" w:rsidRDefault="00B336FD" w:rsidP="00774D38">
      <w:pPr>
        <w:rPr>
          <w:rFonts w:ascii="Arial" w:hAnsi="Arial" w:cs="Arial"/>
          <w:sz w:val="21"/>
          <w:szCs w:val="21"/>
        </w:rPr>
      </w:pPr>
      <w:r>
        <w:rPr>
          <w:rFonts w:ascii="Arial" w:hAnsi="Arial" w:cs="Arial"/>
          <w:sz w:val="21"/>
          <w:szCs w:val="21"/>
        </w:rPr>
        <w:t xml:space="preserve">Information about competitions is available here: </w:t>
      </w:r>
      <w:hyperlink r:id="rId6" w:history="1">
        <w:r w:rsidRPr="00011761">
          <w:rPr>
            <w:rStyle w:val="Hyperlink"/>
            <w:rFonts w:ascii="Arial" w:hAnsi="Arial" w:cs="Arial"/>
            <w:sz w:val="21"/>
            <w:szCs w:val="21"/>
          </w:rPr>
          <w:t>http://tumca.org/v3/competitions.htm</w:t>
        </w:r>
      </w:hyperlink>
      <w:r>
        <w:rPr>
          <w:rFonts w:ascii="Arial" w:hAnsi="Arial" w:cs="Arial"/>
          <w:sz w:val="21"/>
          <w:szCs w:val="21"/>
        </w:rPr>
        <w:t>.  We plan to attend all of the competitions listed on this page</w:t>
      </w:r>
      <w:r w:rsidR="00AF6606">
        <w:rPr>
          <w:rFonts w:ascii="Arial" w:hAnsi="Arial" w:cs="Arial"/>
          <w:sz w:val="21"/>
          <w:szCs w:val="21"/>
        </w:rPr>
        <w:t>, including back-to-back competitions at Texas A&amp;M and Texas Tech</w:t>
      </w:r>
      <w:r>
        <w:rPr>
          <w:rFonts w:ascii="Arial" w:hAnsi="Arial" w:cs="Arial"/>
          <w:sz w:val="21"/>
          <w:szCs w:val="21"/>
        </w:rPr>
        <w:t>.</w:t>
      </w:r>
    </w:p>
    <w:p w:rsidR="00774D38" w:rsidRPr="00B336FD" w:rsidRDefault="00774D38" w:rsidP="00774D38">
      <w:pPr>
        <w:rPr>
          <w:rFonts w:ascii="Arial" w:hAnsi="Arial" w:cs="Arial"/>
          <w:sz w:val="21"/>
          <w:szCs w:val="21"/>
        </w:rPr>
      </w:pPr>
    </w:p>
    <w:p w:rsidR="00511318" w:rsidRDefault="00547F8B" w:rsidP="00511318">
      <w:pPr>
        <w:rPr>
          <w:rFonts w:ascii="Arial" w:hAnsi="Arial" w:cs="Arial"/>
          <w:b/>
          <w:sz w:val="21"/>
          <w:szCs w:val="21"/>
        </w:rPr>
      </w:pPr>
      <w:r>
        <w:rPr>
          <w:rFonts w:ascii="Arial" w:hAnsi="Arial" w:cs="Arial"/>
          <w:b/>
          <w:sz w:val="21"/>
          <w:szCs w:val="21"/>
        </w:rPr>
        <w:t>Course Schedule</w:t>
      </w:r>
      <w:r w:rsidR="00511318">
        <w:rPr>
          <w:rFonts w:ascii="Arial" w:hAnsi="Arial" w:cs="Arial"/>
          <w:b/>
          <w:sz w:val="21"/>
          <w:szCs w:val="21"/>
        </w:rPr>
        <w:t xml:space="preserve">:  </w:t>
      </w:r>
    </w:p>
    <w:p w:rsidR="00511318" w:rsidRPr="00511318" w:rsidRDefault="00511318" w:rsidP="00511318">
      <w:pPr>
        <w:contextualSpacing/>
        <w:rPr>
          <w:rFonts w:ascii="Times New Roman" w:hAnsi="Times New Roman"/>
          <w:i/>
          <w:smallCaps/>
        </w:rPr>
      </w:pPr>
      <w:r>
        <w:rPr>
          <w:rFonts w:ascii="Times New Roman" w:hAnsi="Times New Roman"/>
          <w:i/>
          <w:smallCaps/>
        </w:rPr>
        <w:t xml:space="preserve">Week of </w:t>
      </w:r>
      <w:r w:rsidR="00AF6606">
        <w:rPr>
          <w:rFonts w:ascii="Times New Roman" w:hAnsi="Times New Roman"/>
          <w:i/>
          <w:smallCaps/>
        </w:rPr>
        <w:t>8/18/2014 (meeting on 08/21/2014)</w:t>
      </w:r>
    </w:p>
    <w:p w:rsidR="00511318" w:rsidRDefault="00444DCF" w:rsidP="00511318">
      <w:pPr>
        <w:contextualSpacing/>
        <w:rPr>
          <w:rFonts w:ascii="Times New Roman" w:hAnsi="Times New Roman"/>
          <w:smallCaps/>
        </w:rPr>
      </w:pPr>
      <w:r>
        <w:rPr>
          <w:rFonts w:ascii="Times New Roman" w:hAnsi="Times New Roman"/>
          <w:b/>
          <w:smallCaps/>
        </w:rPr>
        <w:t>Discussion</w:t>
      </w:r>
      <w:r w:rsidR="00511318">
        <w:rPr>
          <w:rFonts w:ascii="Times New Roman" w:hAnsi="Times New Roman"/>
          <w:smallCaps/>
        </w:rPr>
        <w:t>:  “</w:t>
      </w:r>
      <w:r w:rsidR="00774D38">
        <w:rPr>
          <w:rFonts w:ascii="Times New Roman" w:hAnsi="Times New Roman"/>
          <w:smallCaps/>
        </w:rPr>
        <w:t>Introduction to Moot Court”</w:t>
      </w:r>
    </w:p>
    <w:p w:rsidR="000C62EA" w:rsidRDefault="00511318" w:rsidP="00525561">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w:t>
      </w:r>
      <w:r w:rsidR="00525561" w:rsidRPr="00525561">
        <w:rPr>
          <w:rFonts w:ascii="Times New Roman" w:hAnsi="Times New Roman"/>
          <w:smallCaps/>
        </w:rPr>
        <w:t xml:space="preserve"> </w:t>
      </w:r>
      <w:r w:rsidR="00774D38">
        <w:rPr>
          <w:rFonts w:ascii="Times New Roman" w:hAnsi="Times New Roman"/>
          <w:smallCaps/>
        </w:rPr>
        <w:t xml:space="preserve">Alex </w:t>
      </w:r>
      <w:proofErr w:type="spellStart"/>
      <w:r w:rsidR="00774D38">
        <w:rPr>
          <w:rFonts w:ascii="Times New Roman" w:hAnsi="Times New Roman"/>
          <w:smallCaps/>
        </w:rPr>
        <w:t>Kozinski</w:t>
      </w:r>
      <w:proofErr w:type="spellEnd"/>
      <w:r w:rsidR="00774D38">
        <w:rPr>
          <w:rFonts w:ascii="Times New Roman" w:hAnsi="Times New Roman"/>
          <w:smallCaps/>
        </w:rPr>
        <w:t xml:space="preserve">, “In Praise of Moot Court – Not!” </w:t>
      </w:r>
      <w:r w:rsidR="00525561">
        <w:rPr>
          <w:rFonts w:ascii="Times New Roman" w:hAnsi="Times New Roman"/>
          <w:smallCaps/>
        </w:rPr>
        <w:t xml:space="preserve"> </w:t>
      </w:r>
    </w:p>
    <w:p w:rsidR="00774D38" w:rsidRDefault="00173C12" w:rsidP="00511318">
      <w:pPr>
        <w:contextualSpacing/>
        <w:rPr>
          <w:rFonts w:ascii="Times New Roman" w:hAnsi="Times New Roman"/>
          <w:smallCaps/>
        </w:rPr>
      </w:pPr>
      <w:hyperlink r:id="rId7" w:history="1">
        <w:r w:rsidR="00774D38" w:rsidRPr="00F43E97">
          <w:rPr>
            <w:rStyle w:val="Hyperlink"/>
            <w:rFonts w:ascii="Times New Roman" w:hAnsi="Times New Roman"/>
            <w:smallCaps/>
          </w:rPr>
          <w:t>http://notabug.com/kozinski/mootcourt</w:t>
        </w:r>
      </w:hyperlink>
      <w:r w:rsidR="00A74026">
        <w:t xml:space="preserve"> (Recommended)</w:t>
      </w:r>
    </w:p>
    <w:p w:rsidR="000C62EA" w:rsidRDefault="000C62EA" w:rsidP="00511318">
      <w:pPr>
        <w:contextualSpacing/>
        <w:rPr>
          <w:rFonts w:ascii="Times New Roman" w:hAnsi="Times New Roman"/>
          <w:smallCaps/>
        </w:rPr>
      </w:pPr>
    </w:p>
    <w:p w:rsidR="00511318" w:rsidRDefault="00737F14" w:rsidP="00511318">
      <w:pPr>
        <w:contextualSpacing/>
        <w:rPr>
          <w:rFonts w:ascii="Times New Roman" w:hAnsi="Times New Roman"/>
          <w:i/>
          <w:smallCaps/>
        </w:rPr>
      </w:pPr>
      <w:r>
        <w:rPr>
          <w:rFonts w:ascii="Times New Roman" w:hAnsi="Times New Roman"/>
          <w:i/>
          <w:smallCaps/>
        </w:rPr>
        <w:t xml:space="preserve">Week of </w:t>
      </w:r>
      <w:r w:rsidR="00AF6606">
        <w:rPr>
          <w:rFonts w:ascii="Times New Roman" w:hAnsi="Times New Roman"/>
          <w:i/>
          <w:smallCaps/>
        </w:rPr>
        <w:t>08/25/2014</w:t>
      </w:r>
    </w:p>
    <w:p w:rsidR="00511318" w:rsidRDefault="00444DCF" w:rsidP="00511318">
      <w:pPr>
        <w:contextualSpacing/>
        <w:rPr>
          <w:rFonts w:ascii="Times New Roman" w:hAnsi="Times New Roman"/>
          <w:smallCaps/>
        </w:rPr>
      </w:pPr>
      <w:r>
        <w:rPr>
          <w:rFonts w:ascii="Times New Roman" w:hAnsi="Times New Roman"/>
          <w:b/>
          <w:smallCaps/>
        </w:rPr>
        <w:t>Di</w:t>
      </w:r>
      <w:r w:rsidR="00511318" w:rsidRPr="00F057DF">
        <w:rPr>
          <w:rFonts w:ascii="Times New Roman" w:hAnsi="Times New Roman"/>
          <w:b/>
          <w:smallCaps/>
        </w:rPr>
        <w:t>s</w:t>
      </w:r>
      <w:r>
        <w:rPr>
          <w:rFonts w:ascii="Times New Roman" w:hAnsi="Times New Roman"/>
          <w:b/>
          <w:smallCaps/>
        </w:rPr>
        <w:t>cussion</w:t>
      </w:r>
      <w:r w:rsidR="00511318">
        <w:rPr>
          <w:rFonts w:ascii="Times New Roman" w:hAnsi="Times New Roman"/>
          <w:smallCaps/>
        </w:rPr>
        <w:t>:  “</w:t>
      </w:r>
      <w:r w:rsidR="00774D38">
        <w:rPr>
          <w:rFonts w:ascii="Times New Roman" w:hAnsi="Times New Roman"/>
          <w:smallCaps/>
        </w:rPr>
        <w:t>The Case Problem – What the heck is going on here?”</w:t>
      </w:r>
    </w:p>
    <w:p w:rsidR="006538F1" w:rsidRPr="004B365F" w:rsidRDefault="00511318" w:rsidP="00444DCF">
      <w:pPr>
        <w:rPr>
          <w:rFonts w:eastAsiaTheme="minorEastAsia" w:cstheme="minorBidi"/>
          <w:szCs w:val="24"/>
          <w:lang w:eastAsia="en-US"/>
        </w:rPr>
      </w:pPr>
      <w:r w:rsidRPr="00F057DF">
        <w:rPr>
          <w:rFonts w:ascii="Times New Roman" w:hAnsi="Times New Roman"/>
          <w:b/>
          <w:smallCaps/>
        </w:rPr>
        <w:t>Reading Assignment</w:t>
      </w:r>
      <w:r w:rsidR="006538F1">
        <w:rPr>
          <w:rFonts w:ascii="Times New Roman" w:hAnsi="Times New Roman"/>
          <w:b/>
          <w:smallCaps/>
        </w:rPr>
        <w:t>s</w:t>
      </w:r>
      <w:r>
        <w:rPr>
          <w:rFonts w:ascii="Times New Roman" w:hAnsi="Times New Roman"/>
          <w:smallCaps/>
        </w:rPr>
        <w:t xml:space="preserve">: </w:t>
      </w:r>
      <w:r w:rsidR="00AF6606">
        <w:rPr>
          <w:rFonts w:ascii="Arial" w:hAnsi="Arial"/>
          <w:bCs/>
          <w:sz w:val="21"/>
        </w:rPr>
        <w:t xml:space="preserve">2014-2015 ACMA Moot Court Problem, available at </w:t>
      </w:r>
    </w:p>
    <w:p w:rsidR="00C61197" w:rsidRDefault="00AF6606" w:rsidP="00511318">
      <w:pPr>
        <w:contextualSpacing/>
        <w:rPr>
          <w:rFonts w:ascii="Times New Roman" w:hAnsi="Times New Roman"/>
          <w:i/>
          <w:smallCaps/>
        </w:rPr>
      </w:pPr>
      <w:hyperlink r:id="rId8" w:history="1">
        <w:r w:rsidRPr="00A8394B">
          <w:rPr>
            <w:rStyle w:val="Hyperlink"/>
            <w:rFonts w:ascii="Times New Roman" w:hAnsi="Times New Roman"/>
            <w:i/>
            <w:smallCaps/>
          </w:rPr>
          <w:t>http://tumca.org/5-14/acma_case__2014-2015_1%20May%202014.pdf</w:t>
        </w:r>
      </w:hyperlink>
      <w:r w:rsidR="00C61197">
        <w:rPr>
          <w:rFonts w:ascii="Times New Roman" w:hAnsi="Times New Roman"/>
          <w:i/>
          <w:smallCaps/>
        </w:rPr>
        <w:t xml:space="preserve"> </w:t>
      </w:r>
    </w:p>
    <w:p w:rsidR="00AF6606" w:rsidRDefault="00C61197" w:rsidP="00511318">
      <w:pPr>
        <w:contextualSpacing/>
        <w:rPr>
          <w:rFonts w:ascii="Times New Roman" w:hAnsi="Times New Roman"/>
          <w:i/>
          <w:smallCaps/>
        </w:rPr>
      </w:pPr>
      <w:r>
        <w:rPr>
          <w:rFonts w:ascii="Times New Roman" w:hAnsi="Times New Roman"/>
          <w:i/>
          <w:smallCaps/>
        </w:rPr>
        <w:t>(READ THE STATUTE AT THE END OF THE CASE VERY CAREFULLY!)</w:t>
      </w:r>
    </w:p>
    <w:p w:rsidR="00AF6606" w:rsidRDefault="00AF6606" w:rsidP="00511318">
      <w:pPr>
        <w:contextualSpacing/>
        <w:rPr>
          <w:rFonts w:ascii="Times New Roman" w:hAnsi="Times New Roman"/>
          <w:i/>
          <w:smallCaps/>
        </w:rPr>
      </w:pPr>
    </w:p>
    <w:p w:rsidR="00511318" w:rsidRDefault="00737F14" w:rsidP="00511318">
      <w:pPr>
        <w:contextualSpacing/>
        <w:rPr>
          <w:rFonts w:ascii="Times New Roman" w:hAnsi="Times New Roman"/>
          <w:i/>
          <w:smallCaps/>
        </w:rPr>
      </w:pPr>
      <w:r>
        <w:rPr>
          <w:rFonts w:ascii="Times New Roman" w:hAnsi="Times New Roman"/>
          <w:i/>
          <w:smallCaps/>
        </w:rPr>
        <w:t>Wee</w:t>
      </w:r>
      <w:r w:rsidR="00E6688A">
        <w:rPr>
          <w:rFonts w:ascii="Times New Roman" w:hAnsi="Times New Roman"/>
          <w:i/>
          <w:smallCaps/>
        </w:rPr>
        <w:t xml:space="preserve">k of </w:t>
      </w:r>
      <w:r w:rsidR="00AF6606">
        <w:rPr>
          <w:rFonts w:ascii="Times New Roman" w:hAnsi="Times New Roman"/>
          <w:i/>
          <w:smallCaps/>
        </w:rPr>
        <w:t>09/01/2014</w:t>
      </w:r>
    </w:p>
    <w:p w:rsidR="00511318" w:rsidRDefault="00444DCF" w:rsidP="00511318">
      <w:pPr>
        <w:contextualSpacing/>
        <w:rPr>
          <w:rFonts w:ascii="Times New Roman" w:hAnsi="Times New Roman"/>
          <w:smallCaps/>
        </w:rPr>
      </w:pPr>
      <w:r>
        <w:rPr>
          <w:rFonts w:ascii="Times New Roman" w:hAnsi="Times New Roman"/>
          <w:b/>
          <w:smallCaps/>
        </w:rPr>
        <w:t>Discussion</w:t>
      </w:r>
      <w:r w:rsidR="00511318">
        <w:rPr>
          <w:rFonts w:ascii="Times New Roman" w:hAnsi="Times New Roman"/>
          <w:smallCaps/>
        </w:rPr>
        <w:t>:  “</w:t>
      </w:r>
      <w:r w:rsidR="00AF6606">
        <w:rPr>
          <w:rFonts w:ascii="Times New Roman" w:hAnsi="Times New Roman"/>
          <w:smallCaps/>
        </w:rPr>
        <w:t>Abortion</w:t>
      </w:r>
      <w:r w:rsidR="00732C5D">
        <w:rPr>
          <w:rFonts w:ascii="Times New Roman" w:hAnsi="Times New Roman"/>
          <w:smallCaps/>
        </w:rPr>
        <w:t xml:space="preserve">:  </w:t>
      </w:r>
      <w:r w:rsidR="00774D38">
        <w:rPr>
          <w:rFonts w:ascii="Times New Roman" w:hAnsi="Times New Roman"/>
          <w:smallCaps/>
        </w:rPr>
        <w:t>Opening the Frame</w:t>
      </w:r>
      <w:r>
        <w:rPr>
          <w:rFonts w:ascii="Times New Roman" w:hAnsi="Times New Roman"/>
          <w:smallCaps/>
        </w:rPr>
        <w:t>”</w:t>
      </w:r>
    </w:p>
    <w:p w:rsidR="00AF6606" w:rsidRPr="00AF6606" w:rsidRDefault="00511318" w:rsidP="00AF6606">
      <w:pPr>
        <w:rPr>
          <w:rFonts w:ascii="Times New Roman" w:hAnsi="Times New Roman"/>
        </w:rPr>
      </w:pPr>
      <w:r w:rsidRPr="00F057DF">
        <w:rPr>
          <w:rFonts w:ascii="Times New Roman" w:hAnsi="Times New Roman"/>
          <w:b/>
          <w:smallCaps/>
        </w:rPr>
        <w:t>Reading Assignment</w:t>
      </w:r>
      <w:proofErr w:type="gramStart"/>
      <w:r>
        <w:rPr>
          <w:rFonts w:ascii="Times New Roman" w:hAnsi="Times New Roman"/>
          <w:smallCaps/>
        </w:rPr>
        <w:t xml:space="preserve">: </w:t>
      </w:r>
      <w:r w:rsidR="00774D38">
        <w:rPr>
          <w:rFonts w:ascii="Times New Roman" w:hAnsi="Times New Roman"/>
        </w:rPr>
        <w:t> </w:t>
      </w:r>
      <w:proofErr w:type="gramEnd"/>
      <w:r w:rsidR="00774D38">
        <w:rPr>
          <w:rFonts w:ascii="Times New Roman" w:hAnsi="Times New Roman"/>
        </w:rPr>
        <w:br/>
      </w:r>
      <w:r w:rsidR="00AF6606" w:rsidRPr="00AF6606">
        <w:rPr>
          <w:rFonts w:ascii="Times New Roman" w:hAnsi="Times New Roman"/>
        </w:rPr>
        <w:t>Griswold v. Connecticut, 381 U.S. 479</w:t>
      </w:r>
      <w:r w:rsidR="00AF6606">
        <w:rPr>
          <w:rFonts w:ascii="Times New Roman" w:hAnsi="Times New Roman"/>
        </w:rPr>
        <w:t xml:space="preserve"> </w:t>
      </w:r>
      <w:r w:rsidR="00AF6606" w:rsidRPr="00AF6606">
        <w:rPr>
          <w:rFonts w:ascii="Times New Roman" w:hAnsi="Times New Roman"/>
        </w:rPr>
        <w:t xml:space="preserve">(1965) </w:t>
      </w:r>
      <w:r w:rsidR="00AF6606">
        <w:rPr>
          <w:rFonts w:ascii="Times New Roman" w:hAnsi="Times New Roman"/>
        </w:rPr>
        <w:t xml:space="preserve">  </w:t>
      </w:r>
      <w:hyperlink r:id="rId9" w:history="1">
        <w:r w:rsidR="00AF6606" w:rsidRPr="00A8394B">
          <w:rPr>
            <w:rStyle w:val="Hyperlink"/>
            <w:rFonts w:ascii="Times New Roman" w:hAnsi="Times New Roman"/>
          </w:rPr>
          <w:t>http://supreme.justia.com/cases/federal/us/381/479/case.html</w:t>
        </w:r>
      </w:hyperlink>
      <w:r w:rsidR="00AF6606">
        <w:rPr>
          <w:rFonts w:ascii="Times New Roman" w:hAnsi="Times New Roman"/>
        </w:rPr>
        <w:t xml:space="preserve"> </w:t>
      </w:r>
    </w:p>
    <w:p w:rsidR="00AF6606" w:rsidRPr="00AF6606" w:rsidRDefault="00AF6606" w:rsidP="00AF6606">
      <w:pPr>
        <w:rPr>
          <w:rFonts w:ascii="Times New Roman" w:hAnsi="Times New Roman"/>
        </w:rPr>
      </w:pPr>
    </w:p>
    <w:p w:rsidR="00C61197" w:rsidRDefault="00AF6606" w:rsidP="00AF6606">
      <w:pPr>
        <w:rPr>
          <w:rFonts w:ascii="Times New Roman" w:hAnsi="Times New Roman"/>
        </w:rPr>
      </w:pPr>
      <w:r>
        <w:rPr>
          <w:rFonts w:ascii="Times New Roman" w:hAnsi="Times New Roman"/>
        </w:rPr>
        <w:t xml:space="preserve">Roe v. Wade, 410 U.S. 133 </w:t>
      </w:r>
      <w:r w:rsidRPr="00AF6606">
        <w:rPr>
          <w:rFonts w:ascii="Times New Roman" w:hAnsi="Times New Roman"/>
        </w:rPr>
        <w:t>(1973)</w:t>
      </w:r>
    </w:p>
    <w:p w:rsidR="00AF6606" w:rsidRPr="00AF6606" w:rsidRDefault="00AF6606" w:rsidP="00AF6606">
      <w:pPr>
        <w:rPr>
          <w:rFonts w:ascii="Times New Roman" w:hAnsi="Times New Roman"/>
        </w:rPr>
      </w:pPr>
      <w:r w:rsidRPr="00AF6606">
        <w:rPr>
          <w:rFonts w:ascii="Times New Roman" w:hAnsi="Times New Roman"/>
        </w:rPr>
        <w:t xml:space="preserve"> </w:t>
      </w:r>
      <w:r>
        <w:rPr>
          <w:rFonts w:ascii="Times New Roman" w:hAnsi="Times New Roman"/>
        </w:rPr>
        <w:fldChar w:fldCharType="begin"/>
      </w:r>
      <w:r>
        <w:rPr>
          <w:rFonts w:ascii="Times New Roman" w:hAnsi="Times New Roman"/>
        </w:rPr>
        <w:instrText xml:space="preserve"> HYPERLINK "</w:instrText>
      </w:r>
      <w:r w:rsidRPr="00AF6606">
        <w:rPr>
          <w:rFonts w:ascii="Times New Roman" w:hAnsi="Times New Roman"/>
        </w:rPr>
        <w:instrText>http://supreme.justia.com/cases/federal/us/410/113/case.html</w:instrText>
      </w:r>
      <w:r>
        <w:rPr>
          <w:rFonts w:ascii="Times New Roman" w:hAnsi="Times New Roman"/>
        </w:rPr>
        <w:instrText xml:space="preserve">" </w:instrText>
      </w:r>
      <w:r w:rsidRPr="00A8394B">
        <w:rPr>
          <w:rFonts w:ascii="Times New Roman" w:hAnsi="Times New Roman"/>
        </w:rPr>
      </w:r>
      <w:r>
        <w:rPr>
          <w:rFonts w:ascii="Times New Roman" w:hAnsi="Times New Roman"/>
        </w:rPr>
        <w:fldChar w:fldCharType="separate"/>
      </w:r>
      <w:r w:rsidRPr="00A8394B">
        <w:rPr>
          <w:rStyle w:val="Hyperlink"/>
          <w:rFonts w:ascii="Times New Roman" w:hAnsi="Times New Roman"/>
        </w:rPr>
        <w:t>http://supreme.justia.com/cases/federal/us/410/113/case.html</w:t>
      </w:r>
      <w:r>
        <w:rPr>
          <w:rFonts w:ascii="Times New Roman" w:hAnsi="Times New Roman"/>
        </w:rPr>
        <w:fldChar w:fldCharType="end"/>
      </w:r>
      <w:r>
        <w:rPr>
          <w:rFonts w:ascii="Times New Roman" w:hAnsi="Times New Roman"/>
        </w:rPr>
        <w:t xml:space="preserve"> </w:t>
      </w:r>
    </w:p>
    <w:p w:rsidR="00AF6606" w:rsidRPr="00AF6606" w:rsidRDefault="00AF6606" w:rsidP="00AF6606">
      <w:pPr>
        <w:rPr>
          <w:rFonts w:ascii="Times New Roman" w:hAnsi="Times New Roman"/>
        </w:rPr>
      </w:pPr>
    </w:p>
    <w:p w:rsidR="00AF6606" w:rsidRDefault="00AF6606" w:rsidP="00AF6606">
      <w:pPr>
        <w:rPr>
          <w:rFonts w:ascii="Times New Roman" w:hAnsi="Times New Roman"/>
        </w:rPr>
      </w:pPr>
      <w:r w:rsidRPr="00AF6606">
        <w:rPr>
          <w:rFonts w:ascii="Times New Roman" w:hAnsi="Times New Roman"/>
        </w:rPr>
        <w:t xml:space="preserve">Webster v. Reproductive Health </w:t>
      </w:r>
      <w:proofErr w:type="spellStart"/>
      <w:r w:rsidRPr="00AF6606">
        <w:rPr>
          <w:rFonts w:ascii="Times New Roman" w:hAnsi="Times New Roman"/>
        </w:rPr>
        <w:t>Servs</w:t>
      </w:r>
      <w:proofErr w:type="spellEnd"/>
      <w:proofErr w:type="gramStart"/>
      <w:r w:rsidRPr="00AF6606">
        <w:rPr>
          <w:rFonts w:ascii="Times New Roman" w:hAnsi="Times New Roman"/>
        </w:rPr>
        <w:t>.,</w:t>
      </w:r>
      <w:proofErr w:type="gramEnd"/>
      <w:r w:rsidRPr="00AF6606">
        <w:rPr>
          <w:rFonts w:ascii="Times New Roman" w:hAnsi="Times New Roman"/>
        </w:rPr>
        <w:t xml:space="preserve"> 492 U.S. 490 (1989) </w:t>
      </w:r>
      <w:hyperlink r:id="rId10" w:history="1">
        <w:r w:rsidRPr="00A8394B">
          <w:rPr>
            <w:rStyle w:val="Hyperlink"/>
            <w:rFonts w:ascii="Times New Roman" w:hAnsi="Times New Roman"/>
          </w:rPr>
          <w:t>http://supreme.justia.com/cases/federal/us/492/490/</w:t>
        </w:r>
      </w:hyperlink>
    </w:p>
    <w:p w:rsidR="00511318" w:rsidRDefault="00511318" w:rsidP="00AF6606">
      <w:pPr>
        <w:rPr>
          <w:rFonts w:ascii="Times New Roman" w:hAnsi="Times New Roman"/>
          <w:i/>
          <w:smallCaps/>
        </w:rPr>
      </w:pPr>
    </w:p>
    <w:p w:rsidR="00511318" w:rsidRDefault="00E6688A" w:rsidP="00511318">
      <w:pPr>
        <w:contextualSpacing/>
        <w:rPr>
          <w:rFonts w:ascii="Times New Roman" w:hAnsi="Times New Roman"/>
          <w:i/>
          <w:smallCaps/>
        </w:rPr>
      </w:pPr>
      <w:r>
        <w:rPr>
          <w:rFonts w:ascii="Times New Roman" w:hAnsi="Times New Roman"/>
          <w:i/>
          <w:smallCaps/>
        </w:rPr>
        <w:t>Week of 09/</w:t>
      </w:r>
      <w:r w:rsidR="00C61197">
        <w:rPr>
          <w:rFonts w:ascii="Times New Roman" w:hAnsi="Times New Roman"/>
          <w:i/>
          <w:smallCaps/>
        </w:rPr>
        <w:t>08/2014</w:t>
      </w:r>
    </w:p>
    <w:p w:rsidR="00511318" w:rsidRDefault="00444DCF" w:rsidP="00511318">
      <w:pPr>
        <w:contextualSpacing/>
        <w:rPr>
          <w:rFonts w:ascii="Times New Roman" w:hAnsi="Times New Roman"/>
          <w:smallCaps/>
        </w:rPr>
      </w:pPr>
      <w:r>
        <w:rPr>
          <w:rFonts w:ascii="Times New Roman" w:hAnsi="Times New Roman"/>
          <w:b/>
          <w:smallCaps/>
        </w:rPr>
        <w:t>Discussion</w:t>
      </w:r>
      <w:r w:rsidR="00511318">
        <w:rPr>
          <w:rFonts w:ascii="Times New Roman" w:hAnsi="Times New Roman"/>
          <w:smallCaps/>
        </w:rPr>
        <w:t>:  “</w:t>
      </w:r>
      <w:r w:rsidR="00C61197">
        <w:rPr>
          <w:rFonts w:ascii="Times New Roman" w:hAnsi="Times New Roman"/>
          <w:smallCaps/>
        </w:rPr>
        <w:t>Abortion and Sandra Day O’Connor: The Undue Burden Test</w:t>
      </w:r>
      <w:r w:rsidR="006F2D8D">
        <w:rPr>
          <w:rFonts w:ascii="Times New Roman" w:hAnsi="Times New Roman"/>
          <w:smallCaps/>
        </w:rPr>
        <w:t>”</w:t>
      </w:r>
    </w:p>
    <w:p w:rsidR="00C61197" w:rsidRPr="00C61197" w:rsidRDefault="00444DCF" w:rsidP="00C61197">
      <w:pPr>
        <w:contextualSpacing/>
        <w:rPr>
          <w:rFonts w:ascii="Times New Roman" w:hAnsi="Times New Roman"/>
        </w:rPr>
      </w:pPr>
      <w:r w:rsidRPr="00F057DF">
        <w:rPr>
          <w:rFonts w:ascii="Times New Roman" w:hAnsi="Times New Roman"/>
          <w:b/>
          <w:smallCaps/>
        </w:rPr>
        <w:t>Reading Assignment</w:t>
      </w:r>
      <w:r>
        <w:rPr>
          <w:rFonts w:ascii="Times New Roman" w:hAnsi="Times New Roman"/>
          <w:smallCaps/>
        </w:rPr>
        <w:t xml:space="preserve">: </w:t>
      </w:r>
      <w:r w:rsidR="00C61197" w:rsidRPr="00C61197">
        <w:rPr>
          <w:rFonts w:ascii="Times New Roman" w:hAnsi="Times New Roman"/>
        </w:rPr>
        <w:t xml:space="preserve">Hodgson v. Minnesota, 497 U.S. 417 </w:t>
      </w:r>
      <w:r w:rsidR="00C61197">
        <w:rPr>
          <w:rFonts w:ascii="Times New Roman" w:hAnsi="Times New Roman"/>
        </w:rPr>
        <w:t xml:space="preserve"> </w:t>
      </w:r>
      <w:r w:rsidR="00C61197" w:rsidRPr="00C61197">
        <w:rPr>
          <w:rFonts w:ascii="Times New Roman" w:hAnsi="Times New Roman"/>
        </w:rPr>
        <w:t xml:space="preserve">(1990) </w:t>
      </w:r>
      <w:hyperlink r:id="rId11" w:history="1">
        <w:r w:rsidR="00C61197" w:rsidRPr="00A8394B">
          <w:rPr>
            <w:rStyle w:val="Hyperlink"/>
            <w:rFonts w:ascii="Times New Roman" w:hAnsi="Times New Roman"/>
          </w:rPr>
          <w:t>http://supreme.justia.com/cases/federal/us/497/417/</w:t>
        </w:r>
      </w:hyperlink>
      <w:r w:rsidR="00C61197">
        <w:rPr>
          <w:rFonts w:ascii="Times New Roman" w:hAnsi="Times New Roman"/>
        </w:rPr>
        <w:t xml:space="preserve"> </w:t>
      </w:r>
    </w:p>
    <w:p w:rsidR="00C61197" w:rsidRPr="00C61197" w:rsidRDefault="00C61197" w:rsidP="00C61197">
      <w:pPr>
        <w:contextualSpacing/>
        <w:rPr>
          <w:rFonts w:ascii="Times New Roman" w:hAnsi="Times New Roman"/>
        </w:rPr>
      </w:pPr>
    </w:p>
    <w:p w:rsidR="00C61197" w:rsidRPr="00C61197" w:rsidRDefault="00C61197" w:rsidP="00C61197">
      <w:pPr>
        <w:contextualSpacing/>
        <w:rPr>
          <w:rFonts w:ascii="Times New Roman" w:hAnsi="Times New Roman"/>
        </w:rPr>
      </w:pPr>
      <w:proofErr w:type="gramStart"/>
      <w:r w:rsidRPr="00C61197">
        <w:rPr>
          <w:rFonts w:ascii="Times New Roman" w:hAnsi="Times New Roman"/>
        </w:rPr>
        <w:t>Planned Parenthood of Se.</w:t>
      </w:r>
      <w:proofErr w:type="gramEnd"/>
      <w:r w:rsidRPr="00C61197">
        <w:rPr>
          <w:rFonts w:ascii="Times New Roman" w:hAnsi="Times New Roman"/>
        </w:rPr>
        <w:t xml:space="preserve"> Pa. v. Casey, 505 U.S. 833 (1992) </w:t>
      </w:r>
      <w:hyperlink r:id="rId12" w:history="1">
        <w:r w:rsidRPr="00A8394B">
          <w:rPr>
            <w:rStyle w:val="Hyperlink"/>
            <w:rFonts w:ascii="Times New Roman" w:hAnsi="Times New Roman"/>
          </w:rPr>
          <w:t>http://supreme.justia.com/cases/federal/us/505/833/</w:t>
        </w:r>
      </w:hyperlink>
      <w:r>
        <w:rPr>
          <w:rFonts w:ascii="Times New Roman" w:hAnsi="Times New Roman"/>
        </w:rPr>
        <w:t xml:space="preserve"> </w:t>
      </w:r>
    </w:p>
    <w:p w:rsidR="00C61197" w:rsidRPr="00C61197" w:rsidRDefault="00C61197" w:rsidP="00C61197">
      <w:pPr>
        <w:contextualSpacing/>
        <w:rPr>
          <w:rFonts w:ascii="Times New Roman" w:hAnsi="Times New Roman"/>
        </w:rPr>
      </w:pPr>
    </w:p>
    <w:p w:rsidR="004B365F" w:rsidRPr="00C61197" w:rsidRDefault="00C61197" w:rsidP="00C61197">
      <w:pPr>
        <w:contextualSpacing/>
        <w:rPr>
          <w:rFonts w:ascii="Times New Roman" w:hAnsi="Times New Roman"/>
        </w:rPr>
      </w:pPr>
      <w:r w:rsidRPr="00C61197">
        <w:rPr>
          <w:rFonts w:ascii="Times New Roman" w:hAnsi="Times New Roman"/>
        </w:rPr>
        <w:t xml:space="preserve">Stenberg v. </w:t>
      </w:r>
      <w:proofErr w:type="spellStart"/>
      <w:r w:rsidRPr="00C61197">
        <w:rPr>
          <w:rFonts w:ascii="Times New Roman" w:hAnsi="Times New Roman"/>
        </w:rPr>
        <w:t>Carhart</w:t>
      </w:r>
      <w:proofErr w:type="spellEnd"/>
      <w:r w:rsidRPr="00C61197">
        <w:rPr>
          <w:rFonts w:ascii="Times New Roman" w:hAnsi="Times New Roman"/>
        </w:rPr>
        <w:t xml:space="preserve">, 530 U.S. 914 </w:t>
      </w:r>
      <w:r>
        <w:rPr>
          <w:rFonts w:ascii="Times New Roman" w:hAnsi="Times New Roman"/>
        </w:rPr>
        <w:t xml:space="preserve"> </w:t>
      </w:r>
      <w:r w:rsidRPr="00C61197">
        <w:rPr>
          <w:rFonts w:ascii="Times New Roman" w:hAnsi="Times New Roman"/>
        </w:rPr>
        <w:t xml:space="preserve">(2000) </w:t>
      </w:r>
      <w:hyperlink r:id="rId13" w:history="1">
        <w:r w:rsidRPr="00A8394B">
          <w:rPr>
            <w:rStyle w:val="Hyperlink"/>
            <w:rFonts w:ascii="Times New Roman" w:hAnsi="Times New Roman"/>
          </w:rPr>
          <w:t>http://supreme.justia.com/cases/federal/us/530/914/case.html</w:t>
        </w:r>
      </w:hyperlink>
      <w:proofErr w:type="gramStart"/>
      <w:r>
        <w:rPr>
          <w:rFonts w:ascii="Times New Roman" w:hAnsi="Times New Roman"/>
        </w:rPr>
        <w:t xml:space="preserve"> </w:t>
      </w:r>
      <w:r w:rsidR="00774D38">
        <w:rPr>
          <w:rFonts w:ascii="Times New Roman" w:hAnsi="Times New Roman"/>
        </w:rPr>
        <w:t> </w:t>
      </w:r>
      <w:r>
        <w:rPr>
          <w:rFonts w:ascii="Times New Roman" w:hAnsi="Times New Roman"/>
        </w:rPr>
        <w:t xml:space="preserve"> </w:t>
      </w:r>
      <w:proofErr w:type="gramEnd"/>
      <w:r w:rsidR="00774D38">
        <w:rPr>
          <w:rFonts w:ascii="Times New Roman" w:hAnsi="Times New Roman"/>
        </w:rPr>
        <w:br/>
      </w:r>
    </w:p>
    <w:p w:rsidR="00511318" w:rsidRDefault="001414B5" w:rsidP="00511318">
      <w:pPr>
        <w:contextualSpacing/>
        <w:rPr>
          <w:rFonts w:ascii="Times New Roman" w:hAnsi="Times New Roman"/>
          <w:i/>
          <w:smallCaps/>
        </w:rPr>
      </w:pPr>
      <w:r>
        <w:rPr>
          <w:rFonts w:ascii="Times New Roman" w:hAnsi="Times New Roman"/>
          <w:i/>
          <w:smallCaps/>
        </w:rPr>
        <w:t>Week of 09/</w:t>
      </w:r>
      <w:r w:rsidR="00C61197">
        <w:rPr>
          <w:rFonts w:ascii="Times New Roman" w:hAnsi="Times New Roman"/>
          <w:i/>
          <w:smallCaps/>
        </w:rPr>
        <w:t>15/2014</w:t>
      </w:r>
    </w:p>
    <w:p w:rsidR="00774D38" w:rsidRDefault="00774D38" w:rsidP="00774D38">
      <w:pPr>
        <w:contextualSpacing/>
        <w:rPr>
          <w:rFonts w:ascii="Times New Roman" w:hAnsi="Times New Roman"/>
          <w:smallCaps/>
        </w:rPr>
      </w:pPr>
      <w:r>
        <w:rPr>
          <w:rFonts w:ascii="Times New Roman" w:hAnsi="Times New Roman"/>
          <w:b/>
          <w:smallCaps/>
        </w:rPr>
        <w:t>Discussion</w:t>
      </w:r>
      <w:r>
        <w:rPr>
          <w:rFonts w:ascii="Times New Roman" w:hAnsi="Times New Roman"/>
          <w:smallCaps/>
        </w:rPr>
        <w:t>:  “</w:t>
      </w:r>
      <w:r w:rsidR="00C61197">
        <w:rPr>
          <w:rFonts w:ascii="Times New Roman" w:hAnsi="Times New Roman"/>
          <w:smallCaps/>
        </w:rPr>
        <w:t>Abortion: Concluded</w:t>
      </w:r>
      <w:r>
        <w:rPr>
          <w:rFonts w:ascii="Times New Roman" w:hAnsi="Times New Roman"/>
          <w:smallCaps/>
        </w:rPr>
        <w:t>”</w:t>
      </w:r>
    </w:p>
    <w:p w:rsidR="00C61197" w:rsidRPr="00C61197" w:rsidRDefault="00774D38" w:rsidP="00C61197">
      <w:pPr>
        <w:contextualSpacing/>
        <w:rPr>
          <w:rFonts w:ascii="Times New Roman" w:hAnsi="Times New Roman"/>
        </w:rPr>
      </w:pPr>
      <w:r w:rsidRPr="00F057DF">
        <w:rPr>
          <w:rFonts w:ascii="Times New Roman" w:hAnsi="Times New Roman"/>
          <w:b/>
          <w:smallCaps/>
        </w:rPr>
        <w:t>Reading Assignment</w:t>
      </w:r>
      <w:r>
        <w:rPr>
          <w:rFonts w:ascii="Times New Roman" w:hAnsi="Times New Roman"/>
          <w:smallCaps/>
        </w:rPr>
        <w:t xml:space="preserve">: </w:t>
      </w:r>
      <w:r w:rsidR="00C61197" w:rsidRPr="00C61197">
        <w:rPr>
          <w:rFonts w:ascii="Times New Roman" w:hAnsi="Times New Roman"/>
        </w:rPr>
        <w:t xml:space="preserve">Gonzalez v. </w:t>
      </w:r>
      <w:proofErr w:type="spellStart"/>
      <w:r w:rsidR="00C61197" w:rsidRPr="00C61197">
        <w:rPr>
          <w:rFonts w:ascii="Times New Roman" w:hAnsi="Times New Roman"/>
        </w:rPr>
        <w:t>Carhart</w:t>
      </w:r>
      <w:proofErr w:type="spellEnd"/>
      <w:r w:rsidR="00C61197" w:rsidRPr="00C61197">
        <w:rPr>
          <w:rFonts w:ascii="Times New Roman" w:hAnsi="Times New Roman"/>
        </w:rPr>
        <w:t>, 550 U.S. 124 (2007)</w:t>
      </w:r>
    </w:p>
    <w:p w:rsidR="00C61197" w:rsidRPr="00C61197" w:rsidRDefault="00C61197" w:rsidP="00C61197">
      <w:pPr>
        <w:contextualSpacing/>
        <w:rPr>
          <w:rFonts w:ascii="Times New Roman" w:hAnsi="Times New Roman"/>
        </w:rPr>
      </w:pPr>
      <w:hyperlink r:id="rId14" w:history="1">
        <w:r w:rsidRPr="00A8394B">
          <w:rPr>
            <w:rStyle w:val="Hyperlink"/>
            <w:rFonts w:ascii="Times New Roman" w:hAnsi="Times New Roman"/>
          </w:rPr>
          <w:t>http://www.supremecourt.gov/opinions/06pdf/05-380.pdf</w:t>
        </w:r>
      </w:hyperlink>
      <w:r>
        <w:rPr>
          <w:rFonts w:ascii="Times New Roman" w:hAnsi="Times New Roman"/>
        </w:rPr>
        <w:t xml:space="preserve"> </w:t>
      </w:r>
    </w:p>
    <w:p w:rsidR="00C61197" w:rsidRPr="00C61197" w:rsidRDefault="00C61197" w:rsidP="00C61197">
      <w:pPr>
        <w:contextualSpacing/>
        <w:rPr>
          <w:rFonts w:ascii="Times New Roman" w:hAnsi="Times New Roman"/>
        </w:rPr>
      </w:pPr>
    </w:p>
    <w:p w:rsidR="002A0F7E" w:rsidRPr="00C61197" w:rsidRDefault="00C61197" w:rsidP="00C61197">
      <w:pPr>
        <w:contextualSpacing/>
        <w:rPr>
          <w:rFonts w:ascii="Times New Roman" w:hAnsi="Times New Roman"/>
        </w:rPr>
      </w:pPr>
      <w:r w:rsidRPr="00C61197">
        <w:rPr>
          <w:rFonts w:ascii="Times New Roman" w:hAnsi="Times New Roman"/>
        </w:rPr>
        <w:t xml:space="preserve">Planned Parenthood of Minn., N.D., S.D. v. Rounds 686 F.3d 889 (8th Cir. 2012) (en banc) </w:t>
      </w:r>
      <w:hyperlink r:id="rId15" w:history="1">
        <w:r w:rsidRPr="00A8394B">
          <w:rPr>
            <w:rStyle w:val="Hyperlink"/>
            <w:rFonts w:ascii="Times New Roman" w:hAnsi="Times New Roman"/>
          </w:rPr>
          <w:t>http://media.ca8.uscourts.gov/opndir/12/07/093231P.pdf</w:t>
        </w:r>
      </w:hyperlink>
      <w:r>
        <w:rPr>
          <w:rFonts w:ascii="Times New Roman" w:hAnsi="Times New Roman"/>
        </w:rPr>
        <w:t xml:space="preserve"> </w:t>
      </w:r>
      <w:r w:rsidR="00774D38">
        <w:rPr>
          <w:rFonts w:ascii="Times New Roman" w:hAnsi="Times New Roman"/>
        </w:rPr>
        <w:t> </w:t>
      </w:r>
    </w:p>
    <w:p w:rsidR="00C61197" w:rsidRDefault="00C61197" w:rsidP="00511318">
      <w:pPr>
        <w:contextualSpacing/>
        <w:rPr>
          <w:rFonts w:ascii="Times New Roman" w:hAnsi="Times New Roman"/>
          <w:i/>
          <w:smallCaps/>
        </w:rPr>
      </w:pPr>
    </w:p>
    <w:p w:rsidR="00511318" w:rsidRDefault="0044549E" w:rsidP="00511318">
      <w:pPr>
        <w:contextualSpacing/>
        <w:rPr>
          <w:rFonts w:ascii="Times New Roman" w:hAnsi="Times New Roman"/>
          <w:i/>
          <w:smallCaps/>
        </w:rPr>
      </w:pPr>
      <w:r>
        <w:rPr>
          <w:rFonts w:ascii="Times New Roman" w:hAnsi="Times New Roman"/>
          <w:i/>
          <w:smallCaps/>
        </w:rPr>
        <w:t xml:space="preserve">Week of </w:t>
      </w:r>
      <w:r w:rsidR="000F1B19">
        <w:rPr>
          <w:rFonts w:ascii="Times New Roman" w:hAnsi="Times New Roman"/>
          <w:i/>
          <w:smallCaps/>
        </w:rPr>
        <w:t>09/</w:t>
      </w:r>
      <w:r w:rsidR="00C61197">
        <w:rPr>
          <w:rFonts w:ascii="Times New Roman" w:hAnsi="Times New Roman"/>
          <w:i/>
          <w:smallCaps/>
        </w:rPr>
        <w:t>22/2014</w:t>
      </w:r>
    </w:p>
    <w:p w:rsidR="003E60C8" w:rsidRDefault="00774D38" w:rsidP="003E60C8">
      <w:r>
        <w:rPr>
          <w:rFonts w:ascii="Times New Roman" w:hAnsi="Times New Roman"/>
          <w:b/>
          <w:smallCaps/>
        </w:rPr>
        <w:t>First In-Class Moots</w:t>
      </w:r>
    </w:p>
    <w:p w:rsidR="003E60C8" w:rsidRDefault="003E60C8" w:rsidP="003E60C8">
      <w:pPr>
        <w:contextualSpacing/>
        <w:rPr>
          <w:rFonts w:ascii="Times New Roman" w:hAnsi="Times New Roman"/>
          <w:smallCaps/>
        </w:rPr>
      </w:pPr>
    </w:p>
    <w:p w:rsidR="003E60C8" w:rsidRDefault="000F1B19" w:rsidP="00511318">
      <w:pPr>
        <w:contextualSpacing/>
        <w:rPr>
          <w:rFonts w:ascii="Times New Roman" w:hAnsi="Times New Roman"/>
          <w:i/>
          <w:smallCaps/>
        </w:rPr>
      </w:pPr>
      <w:r>
        <w:rPr>
          <w:rFonts w:ascii="Times New Roman" w:hAnsi="Times New Roman"/>
          <w:i/>
          <w:smallCaps/>
        </w:rPr>
        <w:t xml:space="preserve">Week of </w:t>
      </w:r>
      <w:r w:rsidR="00C61197">
        <w:rPr>
          <w:rFonts w:ascii="Times New Roman" w:hAnsi="Times New Roman"/>
          <w:i/>
          <w:smallCaps/>
        </w:rPr>
        <w:t>09/29/2014</w:t>
      </w:r>
      <w:r>
        <w:rPr>
          <w:rFonts w:ascii="Times New Roman" w:hAnsi="Times New Roman"/>
          <w:i/>
          <w:smallCaps/>
        </w:rPr>
        <w:t xml:space="preserve"> </w:t>
      </w:r>
    </w:p>
    <w:p w:rsidR="00C61197" w:rsidRDefault="00774D38" w:rsidP="00511318">
      <w:pPr>
        <w:contextualSpacing/>
        <w:rPr>
          <w:rFonts w:ascii="Times New Roman" w:hAnsi="Times New Roman"/>
          <w:smallCaps/>
        </w:rPr>
      </w:pPr>
      <w:r>
        <w:rPr>
          <w:rFonts w:ascii="Times New Roman" w:hAnsi="Times New Roman"/>
          <w:b/>
          <w:smallCaps/>
        </w:rPr>
        <w:t xml:space="preserve">Discussion:  </w:t>
      </w:r>
      <w:r>
        <w:rPr>
          <w:rFonts w:ascii="Times New Roman" w:hAnsi="Times New Roman"/>
          <w:smallCaps/>
        </w:rPr>
        <w:t>“</w:t>
      </w:r>
      <w:r w:rsidR="00C61197">
        <w:rPr>
          <w:rFonts w:ascii="Times New Roman" w:hAnsi="Times New Roman"/>
          <w:smallCaps/>
        </w:rPr>
        <w:t>Free Speech: Opening the Frame</w:t>
      </w:r>
      <w:r>
        <w:rPr>
          <w:rFonts w:ascii="Times New Roman" w:hAnsi="Times New Roman"/>
          <w:smallCaps/>
        </w:rPr>
        <w:t>”</w:t>
      </w:r>
    </w:p>
    <w:p w:rsidR="00C61197" w:rsidRPr="00732C5D" w:rsidRDefault="00C61197" w:rsidP="00C61197">
      <w:pPr>
        <w:contextualSpacing/>
        <w:rPr>
          <w:rFonts w:ascii="Times New Roman" w:hAnsi="Times New Roman"/>
        </w:rPr>
      </w:pPr>
      <w:r>
        <w:rPr>
          <w:rFonts w:ascii="Times New Roman" w:hAnsi="Times New Roman"/>
          <w:b/>
          <w:smallCaps/>
        </w:rPr>
        <w:t>Reading Assignment</w:t>
      </w:r>
      <w:r w:rsidRPr="00732C5D">
        <w:rPr>
          <w:rFonts w:ascii="Times New Roman" w:hAnsi="Times New Roman"/>
        </w:rPr>
        <w:t xml:space="preserve">: </w:t>
      </w:r>
      <w:proofErr w:type="spellStart"/>
      <w:r w:rsidRPr="00732C5D">
        <w:rPr>
          <w:rFonts w:ascii="Times New Roman" w:hAnsi="Times New Roman"/>
        </w:rPr>
        <w:t>Wooley</w:t>
      </w:r>
      <w:proofErr w:type="spellEnd"/>
      <w:r w:rsidRPr="00732C5D">
        <w:rPr>
          <w:rFonts w:ascii="Times New Roman" w:hAnsi="Times New Roman"/>
        </w:rPr>
        <w:t xml:space="preserve"> v. Maynard, 430 U.S. 705 (1977)</w:t>
      </w:r>
    </w:p>
    <w:p w:rsidR="00C61197" w:rsidRPr="00732C5D" w:rsidRDefault="00732C5D" w:rsidP="00C61197">
      <w:pPr>
        <w:contextualSpacing/>
        <w:rPr>
          <w:rFonts w:ascii="Times New Roman" w:hAnsi="Times New Roman"/>
        </w:rPr>
      </w:pPr>
      <w:hyperlink r:id="rId16" w:history="1">
        <w:r w:rsidRPr="00A8394B">
          <w:rPr>
            <w:rStyle w:val="Hyperlink"/>
            <w:rFonts w:ascii="Times New Roman" w:hAnsi="Times New Roman"/>
          </w:rPr>
          <w:t>http://supreme.justia.com/cases/federal/us/430/705/</w:t>
        </w:r>
      </w:hyperlink>
      <w:r>
        <w:rPr>
          <w:rFonts w:ascii="Times New Roman" w:hAnsi="Times New Roman"/>
        </w:rPr>
        <w:t xml:space="preserve"> </w:t>
      </w:r>
    </w:p>
    <w:p w:rsidR="00C61197" w:rsidRPr="00732C5D" w:rsidRDefault="00C61197" w:rsidP="00C61197">
      <w:pPr>
        <w:contextualSpacing/>
        <w:rPr>
          <w:rFonts w:ascii="Times New Roman" w:hAnsi="Times New Roman"/>
        </w:rPr>
      </w:pPr>
    </w:p>
    <w:p w:rsidR="00C61197" w:rsidRPr="00732C5D" w:rsidRDefault="00C61197" w:rsidP="00C61197">
      <w:pPr>
        <w:contextualSpacing/>
        <w:rPr>
          <w:rFonts w:ascii="Times New Roman" w:hAnsi="Times New Roman"/>
        </w:rPr>
      </w:pPr>
      <w:r w:rsidRPr="00732C5D">
        <w:rPr>
          <w:rFonts w:ascii="Times New Roman" w:hAnsi="Times New Roman"/>
        </w:rPr>
        <w:t xml:space="preserve">Consol. Edison Co. of N.Y. v. Pub. Serv. </w:t>
      </w:r>
      <w:proofErr w:type="spellStart"/>
      <w:r w:rsidRPr="00732C5D">
        <w:rPr>
          <w:rFonts w:ascii="Times New Roman" w:hAnsi="Times New Roman"/>
        </w:rPr>
        <w:t>Comm’n</w:t>
      </w:r>
      <w:proofErr w:type="spellEnd"/>
      <w:r w:rsidRPr="00732C5D">
        <w:rPr>
          <w:rFonts w:ascii="Times New Roman" w:hAnsi="Times New Roman"/>
        </w:rPr>
        <w:t xml:space="preserve"> of N.Y., 447 U.S. 530 (1980) </w:t>
      </w:r>
      <w:hyperlink r:id="rId17" w:history="1">
        <w:r w:rsidR="00732C5D" w:rsidRPr="00A8394B">
          <w:rPr>
            <w:rStyle w:val="Hyperlink"/>
            <w:rFonts w:ascii="Times New Roman" w:hAnsi="Times New Roman"/>
          </w:rPr>
          <w:t>http://supreme.justia.com/cases/federal/us/447/530/</w:t>
        </w:r>
      </w:hyperlink>
      <w:r w:rsidR="00732C5D">
        <w:rPr>
          <w:rFonts w:ascii="Times New Roman" w:hAnsi="Times New Roman"/>
        </w:rPr>
        <w:t xml:space="preserve"> </w:t>
      </w:r>
    </w:p>
    <w:p w:rsidR="00C61197" w:rsidRPr="00732C5D" w:rsidRDefault="00C61197" w:rsidP="00C61197">
      <w:pPr>
        <w:contextualSpacing/>
        <w:rPr>
          <w:rFonts w:ascii="Times New Roman" w:hAnsi="Times New Roman"/>
        </w:rPr>
      </w:pPr>
    </w:p>
    <w:p w:rsidR="00C61197" w:rsidRPr="00732C5D" w:rsidRDefault="00C61197" w:rsidP="00C61197">
      <w:pPr>
        <w:contextualSpacing/>
        <w:rPr>
          <w:rFonts w:ascii="Times New Roman" w:hAnsi="Times New Roman"/>
        </w:rPr>
      </w:pPr>
      <w:r w:rsidRPr="00732C5D">
        <w:rPr>
          <w:rFonts w:ascii="Times New Roman" w:hAnsi="Times New Roman"/>
        </w:rPr>
        <w:t xml:space="preserve">Cent. Hudson Gas &amp; Elec. Corp. v. Pub. Serv. </w:t>
      </w:r>
      <w:proofErr w:type="spellStart"/>
      <w:r w:rsidRPr="00732C5D">
        <w:rPr>
          <w:rFonts w:ascii="Times New Roman" w:hAnsi="Times New Roman"/>
        </w:rPr>
        <w:t>Comm’n</w:t>
      </w:r>
      <w:proofErr w:type="spellEnd"/>
      <w:r w:rsidRPr="00732C5D">
        <w:rPr>
          <w:rFonts w:ascii="Times New Roman" w:hAnsi="Times New Roman"/>
        </w:rPr>
        <w:t xml:space="preserve">, 447 U.S. 557 (1980) </w:t>
      </w:r>
      <w:hyperlink r:id="rId18" w:history="1">
        <w:r w:rsidR="00732C5D" w:rsidRPr="00A8394B">
          <w:rPr>
            <w:rStyle w:val="Hyperlink"/>
            <w:rFonts w:ascii="Times New Roman" w:hAnsi="Times New Roman"/>
          </w:rPr>
          <w:t>http://supreme.justia.com/cases/federal/us/447/557/</w:t>
        </w:r>
      </w:hyperlink>
      <w:r w:rsidR="00732C5D">
        <w:rPr>
          <w:rFonts w:ascii="Times New Roman" w:hAnsi="Times New Roman"/>
        </w:rPr>
        <w:t xml:space="preserve"> </w:t>
      </w:r>
    </w:p>
    <w:p w:rsidR="00C61197" w:rsidRPr="00732C5D" w:rsidRDefault="00C61197" w:rsidP="00C61197">
      <w:pPr>
        <w:contextualSpacing/>
        <w:rPr>
          <w:rFonts w:ascii="Times New Roman" w:hAnsi="Times New Roman"/>
        </w:rPr>
      </w:pPr>
    </w:p>
    <w:p w:rsidR="00C61197" w:rsidRPr="00732C5D" w:rsidRDefault="00C61197" w:rsidP="00C61197">
      <w:pPr>
        <w:contextualSpacing/>
        <w:rPr>
          <w:rFonts w:ascii="Times New Roman" w:hAnsi="Times New Roman"/>
        </w:rPr>
      </w:pPr>
      <w:r w:rsidRPr="00732C5D">
        <w:rPr>
          <w:rFonts w:ascii="Times New Roman" w:hAnsi="Times New Roman"/>
        </w:rPr>
        <w:t>Accountant’s Soc. of Va. v. Bowman, 860 F.2d 602 (4th Cir. 1988)</w:t>
      </w:r>
    </w:p>
    <w:p w:rsidR="00C61197" w:rsidRPr="00732C5D" w:rsidRDefault="00732C5D" w:rsidP="00C61197">
      <w:pPr>
        <w:contextualSpacing/>
        <w:rPr>
          <w:rFonts w:ascii="Times New Roman" w:hAnsi="Times New Roman"/>
        </w:rPr>
      </w:pPr>
      <w:hyperlink r:id="rId19" w:history="1">
        <w:r w:rsidRPr="00A8394B">
          <w:rPr>
            <w:rStyle w:val="Hyperlink"/>
            <w:rFonts w:ascii="Times New Roman" w:hAnsi="Times New Roman"/>
          </w:rPr>
          <w:t>http://law.justia.com/cases/federal/appellate-courts/F2/860/602/465793/</w:t>
        </w:r>
      </w:hyperlink>
      <w:r>
        <w:rPr>
          <w:rFonts w:ascii="Times New Roman" w:hAnsi="Times New Roman"/>
        </w:rPr>
        <w:t xml:space="preserve"> </w:t>
      </w:r>
    </w:p>
    <w:p w:rsidR="00C61197" w:rsidRPr="00732C5D" w:rsidRDefault="00C61197" w:rsidP="00C61197">
      <w:pPr>
        <w:contextualSpacing/>
        <w:rPr>
          <w:rFonts w:ascii="Times New Roman" w:hAnsi="Times New Roman"/>
        </w:rPr>
      </w:pPr>
    </w:p>
    <w:p w:rsidR="00C61197" w:rsidRPr="00732C5D" w:rsidRDefault="00C61197" w:rsidP="00C61197">
      <w:pPr>
        <w:contextualSpacing/>
        <w:rPr>
          <w:rFonts w:ascii="Times New Roman" w:hAnsi="Times New Roman"/>
        </w:rPr>
      </w:pPr>
      <w:r w:rsidRPr="00732C5D">
        <w:rPr>
          <w:rFonts w:ascii="Times New Roman" w:hAnsi="Times New Roman"/>
        </w:rPr>
        <w:t>Fla. Bar v. Went For It, Inc., 515 U.S. 618 (1995)</w:t>
      </w:r>
    </w:p>
    <w:p w:rsidR="00774D38" w:rsidRPr="00732C5D" w:rsidRDefault="00732C5D" w:rsidP="00C61197">
      <w:pPr>
        <w:contextualSpacing/>
        <w:rPr>
          <w:rFonts w:ascii="Times New Roman" w:hAnsi="Times New Roman"/>
        </w:rPr>
      </w:pPr>
      <w:hyperlink r:id="rId20" w:history="1">
        <w:r w:rsidRPr="00A8394B">
          <w:rPr>
            <w:rStyle w:val="Hyperlink"/>
            <w:rFonts w:ascii="Times New Roman" w:hAnsi="Times New Roman"/>
          </w:rPr>
          <w:t>http://supreme.justia.com/cases/federal/us/515/618/</w:t>
        </w:r>
      </w:hyperlink>
      <w:r>
        <w:rPr>
          <w:rFonts w:ascii="Times New Roman" w:hAnsi="Times New Roman"/>
        </w:rPr>
        <w:t xml:space="preserve"> </w:t>
      </w:r>
    </w:p>
    <w:p w:rsidR="00732C5D" w:rsidRPr="00567493" w:rsidRDefault="00774D38" w:rsidP="00511318">
      <w:pPr>
        <w:contextualSpacing/>
        <w:rPr>
          <w:rFonts w:ascii="Times New Roman" w:hAnsi="Times New Roman"/>
          <w:b/>
          <w:smallCaps/>
        </w:rPr>
      </w:pPr>
      <w:r>
        <w:rPr>
          <w:rFonts w:ascii="Times New Roman" w:hAnsi="Times New Roman"/>
        </w:rPr>
        <w:br/>
      </w:r>
      <w:r w:rsidR="000F1B19">
        <w:rPr>
          <w:rFonts w:ascii="Times New Roman" w:hAnsi="Times New Roman"/>
          <w:i/>
          <w:smallCaps/>
        </w:rPr>
        <w:t>Week of 10/</w:t>
      </w:r>
      <w:r w:rsidR="00732C5D">
        <w:rPr>
          <w:rFonts w:ascii="Times New Roman" w:hAnsi="Times New Roman"/>
          <w:i/>
          <w:smallCaps/>
        </w:rPr>
        <w:t>06/2014</w:t>
      </w:r>
    </w:p>
    <w:p w:rsidR="00511318" w:rsidRDefault="003E60C8" w:rsidP="00511318">
      <w:pPr>
        <w:contextualSpacing/>
        <w:rPr>
          <w:rFonts w:ascii="Times New Roman" w:hAnsi="Times New Roman"/>
          <w:smallCaps/>
        </w:rPr>
      </w:pPr>
      <w:r>
        <w:rPr>
          <w:rFonts w:ascii="Times New Roman" w:hAnsi="Times New Roman"/>
          <w:b/>
          <w:smallCaps/>
        </w:rPr>
        <w:t>Discussion</w:t>
      </w:r>
      <w:r w:rsidR="00511318">
        <w:rPr>
          <w:rFonts w:ascii="Times New Roman" w:hAnsi="Times New Roman"/>
          <w:smallCaps/>
        </w:rPr>
        <w:t>:  “</w:t>
      </w:r>
      <w:r w:rsidR="00732C5D">
        <w:rPr>
          <w:rFonts w:ascii="Times New Roman" w:hAnsi="Times New Roman"/>
          <w:smallCaps/>
        </w:rPr>
        <w:t>Free Speech: Concluded</w:t>
      </w:r>
      <w:r w:rsidR="00774D38">
        <w:rPr>
          <w:rFonts w:ascii="Times New Roman" w:hAnsi="Times New Roman"/>
          <w:smallCaps/>
        </w:rPr>
        <w:t>”</w:t>
      </w:r>
    </w:p>
    <w:p w:rsidR="002C49C4"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p>
    <w:p w:rsidR="00732C5D" w:rsidRPr="00732C5D" w:rsidRDefault="00732C5D" w:rsidP="00732C5D">
      <w:pPr>
        <w:contextualSpacing/>
        <w:rPr>
          <w:rFonts w:ascii="Times New Roman" w:hAnsi="Times New Roman"/>
        </w:rPr>
      </w:pPr>
      <w:r w:rsidRPr="00732C5D">
        <w:rPr>
          <w:rFonts w:ascii="Times New Roman" w:hAnsi="Times New Roman"/>
        </w:rPr>
        <w:t>Conant v. Walters, 309 F.3d 629 (9th Cir. 2002)</w:t>
      </w:r>
    </w:p>
    <w:p w:rsidR="00732C5D" w:rsidRPr="00732C5D" w:rsidRDefault="00732C5D" w:rsidP="00732C5D">
      <w:pPr>
        <w:contextualSpacing/>
        <w:rPr>
          <w:rFonts w:ascii="Times New Roman" w:hAnsi="Times New Roman"/>
        </w:rPr>
      </w:pPr>
      <w:hyperlink r:id="rId21" w:history="1">
        <w:r w:rsidRPr="00A8394B">
          <w:rPr>
            <w:rStyle w:val="Hyperlink"/>
            <w:rFonts w:ascii="Times New Roman" w:hAnsi="Times New Roman"/>
          </w:rPr>
          <w:t>http://caselaw.findlaw.com/us-9th-circuit/1343211.html</w:t>
        </w:r>
      </w:hyperlink>
      <w:r>
        <w:rPr>
          <w:rFonts w:ascii="Times New Roman" w:hAnsi="Times New Roman"/>
        </w:rPr>
        <w:t xml:space="preserve"> </w:t>
      </w:r>
    </w:p>
    <w:p w:rsidR="00732C5D" w:rsidRPr="00732C5D" w:rsidRDefault="00732C5D" w:rsidP="00732C5D">
      <w:pPr>
        <w:contextualSpacing/>
        <w:rPr>
          <w:rFonts w:ascii="Times New Roman" w:hAnsi="Times New Roman"/>
        </w:rPr>
      </w:pPr>
    </w:p>
    <w:p w:rsidR="00732C5D" w:rsidRPr="00732C5D" w:rsidRDefault="00732C5D" w:rsidP="00732C5D">
      <w:pPr>
        <w:contextualSpacing/>
        <w:rPr>
          <w:rFonts w:ascii="Times New Roman" w:hAnsi="Times New Roman"/>
        </w:rPr>
      </w:pPr>
      <w:r w:rsidRPr="00732C5D">
        <w:rPr>
          <w:rFonts w:ascii="Times New Roman" w:hAnsi="Times New Roman"/>
        </w:rPr>
        <w:t xml:space="preserve">Pickup v. Brown, 740 F.3d 1208 (9th Cir. 2014) </w:t>
      </w:r>
      <w:hyperlink r:id="rId22" w:history="1">
        <w:r w:rsidRPr="00A8394B">
          <w:rPr>
            <w:rStyle w:val="Hyperlink"/>
            <w:rFonts w:ascii="Times New Roman" w:hAnsi="Times New Roman"/>
          </w:rPr>
          <w:t>http://cdn.ca9.uscourts.gov/datastore/general/2014/01/29/12-17681_order_amended_opinion.pdf</w:t>
        </w:r>
      </w:hyperlink>
      <w:r>
        <w:rPr>
          <w:rFonts w:ascii="Times New Roman" w:hAnsi="Times New Roman"/>
        </w:rPr>
        <w:t xml:space="preserve"> </w:t>
      </w:r>
    </w:p>
    <w:p w:rsidR="00732C5D" w:rsidRPr="00732C5D" w:rsidRDefault="00732C5D" w:rsidP="00732C5D">
      <w:pPr>
        <w:contextualSpacing/>
        <w:rPr>
          <w:rFonts w:ascii="Times New Roman" w:hAnsi="Times New Roman"/>
        </w:rPr>
      </w:pPr>
    </w:p>
    <w:p w:rsidR="00732C5D" w:rsidRPr="00732C5D" w:rsidRDefault="00732C5D" w:rsidP="00732C5D">
      <w:pPr>
        <w:contextualSpacing/>
        <w:rPr>
          <w:rFonts w:ascii="Times New Roman" w:hAnsi="Times New Roman"/>
        </w:rPr>
      </w:pPr>
      <w:proofErr w:type="gramStart"/>
      <w:r w:rsidRPr="00732C5D">
        <w:rPr>
          <w:rFonts w:ascii="Times New Roman" w:hAnsi="Times New Roman"/>
        </w:rPr>
        <w:t xml:space="preserve">Tex. Med. Providers Performing Abortion </w:t>
      </w:r>
      <w:proofErr w:type="spellStart"/>
      <w:r w:rsidRPr="00732C5D">
        <w:rPr>
          <w:rFonts w:ascii="Times New Roman" w:hAnsi="Times New Roman"/>
        </w:rPr>
        <w:t>Servs</w:t>
      </w:r>
      <w:proofErr w:type="spellEnd"/>
      <w:r w:rsidRPr="00732C5D">
        <w:rPr>
          <w:rFonts w:ascii="Times New Roman" w:hAnsi="Times New Roman"/>
        </w:rPr>
        <w:t>.</w:t>
      </w:r>
      <w:proofErr w:type="gramEnd"/>
      <w:r w:rsidRPr="00732C5D">
        <w:rPr>
          <w:rFonts w:ascii="Times New Roman" w:hAnsi="Times New Roman"/>
        </w:rPr>
        <w:t xml:space="preserve"> v. </w:t>
      </w:r>
      <w:proofErr w:type="spellStart"/>
      <w:r w:rsidRPr="00732C5D">
        <w:rPr>
          <w:rFonts w:ascii="Times New Roman" w:hAnsi="Times New Roman"/>
        </w:rPr>
        <w:t>Lakey</w:t>
      </w:r>
      <w:proofErr w:type="spellEnd"/>
      <w:r w:rsidRPr="00732C5D">
        <w:rPr>
          <w:rFonts w:ascii="Times New Roman" w:hAnsi="Times New Roman"/>
        </w:rPr>
        <w:t>, 667 F.3d 570 (5th Cir. 2012)</w:t>
      </w:r>
    </w:p>
    <w:p w:rsidR="00732C5D" w:rsidRPr="00732C5D" w:rsidRDefault="00732C5D" w:rsidP="00732C5D">
      <w:pPr>
        <w:contextualSpacing/>
        <w:rPr>
          <w:rFonts w:ascii="Times New Roman" w:hAnsi="Times New Roman"/>
        </w:rPr>
      </w:pPr>
      <w:hyperlink r:id="rId23" w:history="1">
        <w:r w:rsidRPr="00A8394B">
          <w:rPr>
            <w:rStyle w:val="Hyperlink"/>
            <w:rFonts w:ascii="Times New Roman" w:hAnsi="Times New Roman"/>
          </w:rPr>
          <w:t>https://www.ca5.uscourts.gov/opinions/pub/11/11-50814-CV0.wpd.pdf</w:t>
        </w:r>
      </w:hyperlink>
      <w:r>
        <w:rPr>
          <w:rFonts w:ascii="Times New Roman" w:hAnsi="Times New Roman"/>
        </w:rPr>
        <w:t xml:space="preserve"> </w:t>
      </w:r>
    </w:p>
    <w:p w:rsidR="00732C5D" w:rsidRPr="00732C5D" w:rsidRDefault="00732C5D" w:rsidP="00732C5D">
      <w:pPr>
        <w:contextualSpacing/>
        <w:rPr>
          <w:rFonts w:ascii="Times New Roman" w:hAnsi="Times New Roman"/>
        </w:rPr>
      </w:pPr>
    </w:p>
    <w:p w:rsidR="00511318" w:rsidRPr="00732C5D" w:rsidRDefault="00732C5D" w:rsidP="00732C5D">
      <w:pPr>
        <w:contextualSpacing/>
        <w:rPr>
          <w:rFonts w:ascii="Times New Roman" w:hAnsi="Times New Roman"/>
        </w:rPr>
      </w:pPr>
      <w:r w:rsidRPr="00732C5D">
        <w:rPr>
          <w:rFonts w:ascii="Times New Roman" w:hAnsi="Times New Roman"/>
        </w:rPr>
        <w:t>Stuart v. Loomis, 1:11-CV-804, 2014 WL 186310 (M.D.N.C.</w:t>
      </w:r>
      <w:r>
        <w:rPr>
          <w:rFonts w:ascii="Times New Roman" w:hAnsi="Times New Roman"/>
        </w:rPr>
        <w:t xml:space="preserve"> </w:t>
      </w:r>
      <w:r w:rsidRPr="00732C5D">
        <w:rPr>
          <w:rFonts w:ascii="Times New Roman" w:hAnsi="Times New Roman"/>
        </w:rPr>
        <w:t xml:space="preserve">2014) </w:t>
      </w:r>
      <w:hyperlink r:id="rId24" w:history="1">
        <w:r w:rsidRPr="00A8394B">
          <w:rPr>
            <w:rStyle w:val="Hyperlink"/>
            <w:rFonts w:ascii="Times New Roman" w:hAnsi="Times New Roman"/>
          </w:rPr>
          <w:t>http://www.ncmd.uscourts.gov/sites/default/files/opinions/11cv804_163moo.pdf</w:t>
        </w:r>
      </w:hyperlink>
      <w:r>
        <w:rPr>
          <w:rFonts w:ascii="Times New Roman" w:hAnsi="Times New Roman"/>
        </w:rPr>
        <w:t xml:space="preserve"> </w:t>
      </w:r>
    </w:p>
    <w:p w:rsidR="00732C5D" w:rsidRDefault="00732C5D" w:rsidP="00511318">
      <w:pPr>
        <w:contextualSpacing/>
        <w:rPr>
          <w:rFonts w:ascii="Times New Roman" w:hAnsi="Times New Roman"/>
          <w:i/>
          <w:smallCaps/>
        </w:rPr>
      </w:pPr>
    </w:p>
    <w:p w:rsidR="00567493" w:rsidRDefault="00567493" w:rsidP="00511318">
      <w:pPr>
        <w:contextualSpacing/>
        <w:rPr>
          <w:rFonts w:ascii="Times New Roman" w:hAnsi="Times New Roman"/>
          <w:i/>
          <w:smallCaps/>
        </w:rPr>
      </w:pPr>
    </w:p>
    <w:p w:rsidR="00567493" w:rsidRDefault="00567493" w:rsidP="00511318">
      <w:pPr>
        <w:contextualSpacing/>
        <w:rPr>
          <w:rFonts w:ascii="Times New Roman" w:hAnsi="Times New Roman"/>
          <w:i/>
          <w:smallCaps/>
        </w:rPr>
      </w:pPr>
    </w:p>
    <w:p w:rsidR="00511318" w:rsidRDefault="00007359" w:rsidP="00511318">
      <w:pPr>
        <w:contextualSpacing/>
        <w:rPr>
          <w:rFonts w:ascii="Times New Roman" w:hAnsi="Times New Roman"/>
          <w:i/>
          <w:smallCaps/>
        </w:rPr>
      </w:pPr>
      <w:r>
        <w:rPr>
          <w:rFonts w:ascii="Times New Roman" w:hAnsi="Times New Roman"/>
          <w:i/>
          <w:smallCaps/>
        </w:rPr>
        <w:t>Week of 10/</w:t>
      </w:r>
      <w:r w:rsidR="00732C5D">
        <w:rPr>
          <w:rFonts w:ascii="Times New Roman" w:hAnsi="Times New Roman"/>
          <w:i/>
          <w:smallCaps/>
        </w:rPr>
        <w:t>13/2014</w:t>
      </w:r>
    </w:p>
    <w:p w:rsidR="00511318" w:rsidRPr="00732C5D" w:rsidRDefault="00732C5D" w:rsidP="00511318">
      <w:pPr>
        <w:rPr>
          <w:rFonts w:ascii="Times New Roman" w:hAnsi="Times New Roman"/>
          <w:b/>
          <w:smallCaps/>
        </w:rPr>
      </w:pPr>
      <w:r>
        <w:rPr>
          <w:rFonts w:ascii="Times New Roman" w:hAnsi="Times New Roman"/>
          <w:b/>
          <w:smallCaps/>
        </w:rPr>
        <w:t>Second In-Class Moots</w:t>
      </w:r>
      <w:r w:rsidR="00774D38">
        <w:rPr>
          <w:rFonts w:ascii="Times New Roman" w:hAnsi="Times New Roman"/>
        </w:rPr>
        <w:br/>
        <w:t> </w:t>
      </w:r>
      <w:r w:rsidR="00774D38">
        <w:rPr>
          <w:rFonts w:ascii="Times New Roman" w:hAnsi="Times New Roman"/>
        </w:rPr>
        <w:br/>
      </w:r>
      <w:r>
        <w:rPr>
          <w:rFonts w:ascii="Times New Roman" w:hAnsi="Times New Roman"/>
          <w:i/>
          <w:smallCaps/>
        </w:rPr>
        <w:t>Week of 10/20</w:t>
      </w:r>
      <w:r w:rsidR="00832BF4">
        <w:rPr>
          <w:rFonts w:ascii="Times New Roman" w:hAnsi="Times New Roman"/>
          <w:i/>
          <w:smallCaps/>
        </w:rPr>
        <w:t>/201</w:t>
      </w:r>
      <w:r>
        <w:rPr>
          <w:rFonts w:ascii="Times New Roman" w:hAnsi="Times New Roman"/>
          <w:i/>
          <w:smallCaps/>
        </w:rPr>
        <w:t>4</w:t>
      </w:r>
    </w:p>
    <w:p w:rsidR="00007359" w:rsidRPr="00007359" w:rsidRDefault="00732C5D" w:rsidP="00511318">
      <w:pPr>
        <w:contextualSpacing/>
        <w:rPr>
          <w:rFonts w:ascii="Times New Roman" w:hAnsi="Times New Roman"/>
          <w:smallCaps/>
        </w:rPr>
      </w:pPr>
      <w:r>
        <w:rPr>
          <w:rFonts w:ascii="Times New Roman" w:hAnsi="Times New Roman"/>
          <w:b/>
          <w:smallCaps/>
        </w:rPr>
        <w:t>Third</w:t>
      </w:r>
      <w:r w:rsidR="00E343EC">
        <w:rPr>
          <w:rFonts w:ascii="Times New Roman" w:hAnsi="Times New Roman"/>
          <w:b/>
          <w:smallCaps/>
        </w:rPr>
        <w:t xml:space="preserve"> In-Class Moots</w:t>
      </w:r>
    </w:p>
    <w:p w:rsidR="00007359" w:rsidRDefault="00007359" w:rsidP="00511318">
      <w:pPr>
        <w:contextualSpacing/>
        <w:rPr>
          <w:rFonts w:ascii="Times New Roman" w:hAnsi="Times New Roman"/>
          <w:b/>
          <w:smallCaps/>
        </w:rPr>
      </w:pPr>
    </w:p>
    <w:p w:rsidR="00732C5D" w:rsidRDefault="0086148A" w:rsidP="00511318">
      <w:pPr>
        <w:contextualSpacing/>
        <w:rPr>
          <w:rFonts w:ascii="Times New Roman" w:hAnsi="Times New Roman"/>
          <w:i/>
          <w:smallCaps/>
        </w:rPr>
      </w:pPr>
      <w:r>
        <w:rPr>
          <w:rFonts w:ascii="Times New Roman" w:hAnsi="Times New Roman"/>
          <w:i/>
          <w:smallCaps/>
        </w:rPr>
        <w:t xml:space="preserve">Week of </w:t>
      </w:r>
      <w:r w:rsidR="00732C5D">
        <w:rPr>
          <w:rFonts w:ascii="Times New Roman" w:hAnsi="Times New Roman"/>
          <w:i/>
          <w:smallCaps/>
        </w:rPr>
        <w:t>10/27/2014</w:t>
      </w:r>
    </w:p>
    <w:p w:rsidR="00732C5D" w:rsidRDefault="00732C5D" w:rsidP="00511318">
      <w:pPr>
        <w:contextualSpacing/>
        <w:rPr>
          <w:rFonts w:ascii="Times New Roman" w:hAnsi="Times New Roman"/>
          <w:b/>
          <w:smallCaps/>
        </w:rPr>
      </w:pPr>
      <w:r>
        <w:rPr>
          <w:rFonts w:ascii="Times New Roman" w:hAnsi="Times New Roman"/>
          <w:b/>
          <w:smallCaps/>
        </w:rPr>
        <w:t>Fourth In-Class Moots</w:t>
      </w:r>
    </w:p>
    <w:p w:rsidR="00732C5D" w:rsidRDefault="00732C5D" w:rsidP="00511318">
      <w:pPr>
        <w:contextualSpacing/>
        <w:rPr>
          <w:rFonts w:ascii="Times New Roman" w:hAnsi="Times New Roman"/>
          <w:b/>
          <w:smallCaps/>
        </w:rPr>
      </w:pPr>
    </w:p>
    <w:p w:rsidR="00511318" w:rsidRPr="00732C5D" w:rsidRDefault="00732C5D" w:rsidP="00511318">
      <w:pPr>
        <w:contextualSpacing/>
        <w:rPr>
          <w:rFonts w:ascii="Times New Roman" w:hAnsi="Times New Roman"/>
          <w:i/>
          <w:smallCaps/>
        </w:rPr>
      </w:pPr>
      <w:r>
        <w:rPr>
          <w:rFonts w:ascii="Times New Roman" w:hAnsi="Times New Roman"/>
          <w:i/>
          <w:smallCaps/>
        </w:rPr>
        <w:t>Week of 11/3/2014</w:t>
      </w:r>
    </w:p>
    <w:p w:rsidR="00732C5D" w:rsidRDefault="00732C5D" w:rsidP="00E343EC">
      <w:pPr>
        <w:contextualSpacing/>
        <w:rPr>
          <w:rFonts w:ascii="Times New Roman" w:hAnsi="Times New Roman"/>
          <w:b/>
          <w:smallCaps/>
        </w:rPr>
      </w:pPr>
      <w:r>
        <w:rPr>
          <w:rFonts w:ascii="Times New Roman" w:hAnsi="Times New Roman"/>
          <w:b/>
          <w:smallCaps/>
        </w:rPr>
        <w:t>Practice Sessions Tuesday and Thursday</w:t>
      </w:r>
    </w:p>
    <w:p w:rsidR="003E60C8" w:rsidRPr="00732C5D" w:rsidRDefault="00732C5D" w:rsidP="00E343EC">
      <w:pPr>
        <w:contextualSpacing/>
        <w:rPr>
          <w:rFonts w:ascii="Times New Roman" w:hAnsi="Times New Roman"/>
          <w:b/>
          <w:smallCaps/>
        </w:rPr>
      </w:pPr>
      <w:r>
        <w:rPr>
          <w:rFonts w:ascii="Times New Roman" w:hAnsi="Times New Roman"/>
          <w:b/>
          <w:smallCaps/>
        </w:rPr>
        <w:t xml:space="preserve">Competition at Texas Tech (Lubbock); 8 Students will attend </w:t>
      </w:r>
    </w:p>
    <w:p w:rsidR="00511318" w:rsidRDefault="00511318" w:rsidP="003E60C8">
      <w:pPr>
        <w:contextualSpacing/>
        <w:rPr>
          <w:rFonts w:ascii="Times New Roman" w:hAnsi="Times New Roman"/>
          <w:i/>
          <w:smallCaps/>
        </w:rPr>
      </w:pPr>
    </w:p>
    <w:p w:rsidR="00511318" w:rsidRDefault="0086148A" w:rsidP="00511318">
      <w:pPr>
        <w:contextualSpacing/>
        <w:rPr>
          <w:rFonts w:ascii="Times New Roman" w:hAnsi="Times New Roman"/>
          <w:i/>
          <w:smallCaps/>
        </w:rPr>
      </w:pPr>
      <w:r>
        <w:rPr>
          <w:rFonts w:ascii="Times New Roman" w:hAnsi="Times New Roman"/>
          <w:i/>
          <w:smallCaps/>
        </w:rPr>
        <w:t>Week of 11/1</w:t>
      </w:r>
      <w:r w:rsidR="00732C5D">
        <w:rPr>
          <w:rFonts w:ascii="Times New Roman" w:hAnsi="Times New Roman"/>
          <w:i/>
          <w:smallCaps/>
        </w:rPr>
        <w:t>0/2014</w:t>
      </w:r>
    </w:p>
    <w:p w:rsidR="00732C5D" w:rsidRDefault="00732C5D" w:rsidP="003E60C8">
      <w:pPr>
        <w:contextualSpacing/>
        <w:rPr>
          <w:rFonts w:ascii="Times New Roman" w:hAnsi="Times New Roman"/>
          <w:b/>
          <w:smallCaps/>
        </w:rPr>
      </w:pPr>
      <w:r>
        <w:rPr>
          <w:rFonts w:ascii="Times New Roman" w:hAnsi="Times New Roman"/>
          <w:b/>
          <w:smallCaps/>
        </w:rPr>
        <w:t>Practice Sessions Tuesday and Thursday</w:t>
      </w:r>
    </w:p>
    <w:p w:rsidR="0086148A" w:rsidRPr="003E60C8" w:rsidRDefault="00732C5D" w:rsidP="003E60C8">
      <w:pPr>
        <w:contextualSpacing/>
        <w:rPr>
          <w:rFonts w:ascii="Times New Roman" w:hAnsi="Times New Roman"/>
          <w:smallCaps/>
        </w:rPr>
      </w:pPr>
      <w:r>
        <w:rPr>
          <w:rFonts w:ascii="Times New Roman" w:hAnsi="Times New Roman"/>
          <w:b/>
          <w:smallCaps/>
        </w:rPr>
        <w:t>Competition at Texas A&amp;M (Fort Worth); 8-12 Students Will Attend</w:t>
      </w:r>
    </w:p>
    <w:p w:rsidR="00C33C1A" w:rsidRDefault="00C33C1A" w:rsidP="003E60C8">
      <w:pPr>
        <w:tabs>
          <w:tab w:val="left" w:pos="1800"/>
        </w:tabs>
        <w:contextualSpacing/>
        <w:rPr>
          <w:rFonts w:ascii="Times New Roman" w:hAnsi="Times New Roman"/>
          <w:i/>
          <w:smallCaps/>
        </w:rPr>
      </w:pPr>
    </w:p>
    <w:p w:rsidR="00511318" w:rsidRDefault="005446C9" w:rsidP="003E60C8">
      <w:pPr>
        <w:tabs>
          <w:tab w:val="left" w:pos="1800"/>
        </w:tabs>
        <w:contextualSpacing/>
        <w:rPr>
          <w:rFonts w:ascii="Times New Roman" w:hAnsi="Times New Roman"/>
          <w:smallCaps/>
        </w:rPr>
      </w:pPr>
      <w:r>
        <w:rPr>
          <w:rFonts w:ascii="Times New Roman" w:hAnsi="Times New Roman"/>
          <w:i/>
          <w:smallCaps/>
        </w:rPr>
        <w:t xml:space="preserve">Week of </w:t>
      </w:r>
      <w:r w:rsidR="00732C5D">
        <w:rPr>
          <w:rFonts w:ascii="Times New Roman" w:hAnsi="Times New Roman"/>
          <w:i/>
          <w:smallCaps/>
        </w:rPr>
        <w:t>11/17</w:t>
      </w:r>
      <w:r w:rsidR="002B3510">
        <w:rPr>
          <w:rFonts w:ascii="Times New Roman" w:hAnsi="Times New Roman"/>
          <w:i/>
          <w:smallCaps/>
        </w:rPr>
        <w:t>/</w:t>
      </w:r>
      <w:r w:rsidR="00732C5D">
        <w:rPr>
          <w:rFonts w:ascii="Times New Roman" w:hAnsi="Times New Roman"/>
          <w:i/>
          <w:smallCaps/>
        </w:rPr>
        <w:t>2014</w:t>
      </w:r>
    </w:p>
    <w:p w:rsidR="00C33C1A" w:rsidRDefault="00E343EC" w:rsidP="00C33C1A">
      <w:pPr>
        <w:contextualSpacing/>
        <w:rPr>
          <w:rFonts w:ascii="Times New Roman" w:hAnsi="Times New Roman"/>
          <w:smallCaps/>
        </w:rPr>
      </w:pPr>
      <w:r>
        <w:rPr>
          <w:rFonts w:ascii="Times New Roman" w:hAnsi="Times New Roman"/>
          <w:b/>
          <w:smallCaps/>
        </w:rPr>
        <w:t>Fifth In-Class Moots</w:t>
      </w:r>
    </w:p>
    <w:p w:rsidR="002C49C4" w:rsidRDefault="002C49C4" w:rsidP="00511318">
      <w:pPr>
        <w:contextualSpacing/>
        <w:rPr>
          <w:rFonts w:ascii="Times New Roman" w:hAnsi="Times New Roman"/>
          <w:smallCaps/>
        </w:rPr>
      </w:pPr>
    </w:p>
    <w:p w:rsidR="002C49C4" w:rsidRPr="00832BF4" w:rsidRDefault="00732C5D" w:rsidP="00511318">
      <w:pPr>
        <w:contextualSpacing/>
        <w:rPr>
          <w:rFonts w:ascii="Times New Roman" w:hAnsi="Times New Roman"/>
          <w:smallCaps/>
        </w:rPr>
      </w:pPr>
      <w:r>
        <w:rPr>
          <w:rFonts w:ascii="Times New Roman" w:hAnsi="Times New Roman"/>
          <w:i/>
          <w:smallCaps/>
        </w:rPr>
        <w:t>Week of 11/24</w:t>
      </w:r>
      <w:r w:rsidR="00832BF4">
        <w:rPr>
          <w:rFonts w:ascii="Times New Roman" w:hAnsi="Times New Roman"/>
          <w:i/>
          <w:smallCaps/>
        </w:rPr>
        <w:t>/201</w:t>
      </w:r>
      <w:r>
        <w:rPr>
          <w:rFonts w:ascii="Times New Roman" w:hAnsi="Times New Roman"/>
          <w:i/>
          <w:smallCaps/>
        </w:rPr>
        <w:t>4</w:t>
      </w:r>
      <w:r w:rsidR="00832BF4">
        <w:rPr>
          <w:rFonts w:ascii="Times New Roman" w:hAnsi="Times New Roman"/>
          <w:smallCaps/>
        </w:rPr>
        <w:t xml:space="preserve"> </w:t>
      </w:r>
    </w:p>
    <w:p w:rsidR="00C33C1A" w:rsidRDefault="00732C5D" w:rsidP="00C33C1A">
      <w:pPr>
        <w:contextualSpacing/>
        <w:rPr>
          <w:rFonts w:ascii="Times New Roman" w:hAnsi="Times New Roman"/>
          <w:b/>
          <w:smallCaps/>
        </w:rPr>
      </w:pPr>
      <w:r>
        <w:rPr>
          <w:rFonts w:ascii="Times New Roman" w:hAnsi="Times New Roman"/>
          <w:b/>
          <w:smallCaps/>
        </w:rPr>
        <w:t>No Class – Thanksgiving Holiday</w:t>
      </w:r>
    </w:p>
    <w:p w:rsidR="00C33C1A" w:rsidRDefault="00C33C1A" w:rsidP="00C33C1A">
      <w:pPr>
        <w:contextualSpacing/>
        <w:rPr>
          <w:rFonts w:ascii="Times New Roman" w:hAnsi="Times New Roman"/>
          <w:b/>
          <w:smallCaps/>
        </w:rPr>
      </w:pPr>
    </w:p>
    <w:p w:rsidR="002C49C4" w:rsidRDefault="002C49C4" w:rsidP="00C33C1A">
      <w:pPr>
        <w:contextualSpacing/>
        <w:rPr>
          <w:rFonts w:ascii="Times New Roman" w:hAnsi="Times New Roman"/>
          <w:i/>
          <w:smallCaps/>
        </w:rPr>
      </w:pPr>
      <w:r>
        <w:rPr>
          <w:rFonts w:ascii="Times New Roman" w:hAnsi="Times New Roman"/>
          <w:i/>
          <w:smallCaps/>
        </w:rPr>
        <w:t xml:space="preserve">Week </w:t>
      </w:r>
      <w:r w:rsidR="0086148A">
        <w:rPr>
          <w:rFonts w:ascii="Times New Roman" w:hAnsi="Times New Roman"/>
          <w:i/>
          <w:smallCaps/>
        </w:rPr>
        <w:t>of 12/</w:t>
      </w:r>
      <w:r w:rsidR="00732C5D">
        <w:rPr>
          <w:rFonts w:ascii="Times New Roman" w:hAnsi="Times New Roman"/>
          <w:i/>
          <w:smallCaps/>
        </w:rPr>
        <w:t>01/2014</w:t>
      </w:r>
    </w:p>
    <w:p w:rsidR="00732C5D" w:rsidRDefault="00E343EC" w:rsidP="00C33C1A">
      <w:pPr>
        <w:contextualSpacing/>
        <w:rPr>
          <w:rFonts w:ascii="Times New Roman" w:hAnsi="Times New Roman"/>
          <w:smallCaps/>
        </w:rPr>
      </w:pPr>
      <w:r>
        <w:rPr>
          <w:rFonts w:ascii="Times New Roman" w:hAnsi="Times New Roman"/>
          <w:b/>
          <w:smallCaps/>
        </w:rPr>
        <w:t xml:space="preserve">Discussion:  </w:t>
      </w:r>
      <w:r>
        <w:rPr>
          <w:rFonts w:ascii="Times New Roman" w:hAnsi="Times New Roman"/>
          <w:smallCaps/>
        </w:rPr>
        <w:t xml:space="preserve">“What next?” </w:t>
      </w:r>
    </w:p>
    <w:p w:rsidR="00C33C1A" w:rsidRPr="00732C5D" w:rsidRDefault="00732C5D" w:rsidP="00C33C1A">
      <w:pPr>
        <w:contextualSpacing/>
        <w:rPr>
          <w:rFonts w:ascii="Times New Roman" w:hAnsi="Times New Roman"/>
          <w:b/>
          <w:smallCaps/>
        </w:rPr>
      </w:pPr>
      <w:r>
        <w:rPr>
          <w:rFonts w:ascii="Times New Roman" w:hAnsi="Times New Roman"/>
          <w:b/>
          <w:smallCaps/>
        </w:rPr>
        <w:t>Possible East Coast Competition TBA</w:t>
      </w:r>
    </w:p>
    <w:p w:rsidR="001E34D0" w:rsidRDefault="001E34D0" w:rsidP="00C33C1A">
      <w:pPr>
        <w:contextualSpacing/>
        <w:rPr>
          <w:rFonts w:ascii="Times New Roman" w:hAnsi="Times New Roman"/>
          <w:b/>
          <w:smallCaps/>
        </w:rPr>
      </w:pPr>
    </w:p>
    <w:p w:rsidR="002C49C4" w:rsidRDefault="001E34D0" w:rsidP="00511318">
      <w:pPr>
        <w:contextualSpacing/>
        <w:rPr>
          <w:rFonts w:ascii="Times New Roman" w:hAnsi="Times New Roman"/>
          <w:b/>
          <w:smallCaps/>
        </w:rPr>
      </w:pPr>
      <w:proofErr w:type="gramStart"/>
      <w:r>
        <w:rPr>
          <w:rFonts w:ascii="Times New Roman" w:hAnsi="Times New Roman"/>
          <w:b/>
          <w:smallCaps/>
        </w:rPr>
        <w:t>NOTE :</w:t>
      </w:r>
      <w:proofErr w:type="gramEnd"/>
      <w:r>
        <w:rPr>
          <w:rFonts w:ascii="Times New Roman" w:hAnsi="Times New Roman"/>
          <w:b/>
          <w:smallCaps/>
        </w:rPr>
        <w:t xml:space="preserve">  </w:t>
      </w:r>
      <w:r w:rsidR="001414B5">
        <w:rPr>
          <w:rFonts w:ascii="Times New Roman" w:hAnsi="Times New Roman"/>
          <w:b/>
          <w:i/>
          <w:smallCaps/>
        </w:rPr>
        <w:t>As the instructor</w:t>
      </w:r>
      <w:r w:rsidRPr="001E34D0">
        <w:rPr>
          <w:rFonts w:ascii="Times New Roman" w:hAnsi="Times New Roman"/>
          <w:b/>
          <w:i/>
          <w:smallCaps/>
        </w:rPr>
        <w:t>, I reserve the right to adjust this schedule in any way that serves the educational needs of the students enrolled in this course</w:t>
      </w:r>
      <w:r>
        <w:rPr>
          <w:rFonts w:ascii="Times New Roman" w:hAnsi="Times New Roman"/>
          <w:b/>
          <w:i/>
          <w:smallCaps/>
        </w:rPr>
        <w:t>.  --OLB</w:t>
      </w:r>
    </w:p>
    <w:p w:rsidR="00547F8B" w:rsidRPr="004C7DA8" w:rsidRDefault="00547F8B" w:rsidP="00511318">
      <w:pPr>
        <w:rPr>
          <w:rFonts w:ascii="Arial" w:hAnsi="Arial" w:cs="Arial"/>
          <w:color w:val="0000FF"/>
          <w:sz w:val="21"/>
          <w:szCs w:val="21"/>
        </w:rPr>
      </w:pPr>
    </w:p>
    <w:p w:rsidR="00547F8B" w:rsidRDefault="00547F8B" w:rsidP="00547F8B">
      <w:pPr>
        <w:pBdr>
          <w:bottom w:val="double" w:sz="6" w:space="1" w:color="auto"/>
        </w:pBdr>
        <w:rPr>
          <w:rFonts w:ascii="Arial" w:hAnsi="Arial" w:cs="Arial"/>
          <w:b/>
          <w:color w:val="0000FF"/>
          <w:sz w:val="21"/>
          <w:szCs w:val="21"/>
        </w:rPr>
      </w:pPr>
    </w:p>
    <w:p w:rsidR="00547F8B" w:rsidRDefault="00547F8B" w:rsidP="00547F8B">
      <w:pPr>
        <w:rPr>
          <w:rFonts w:ascii="Arial" w:hAnsi="Arial" w:cs="Arial"/>
          <w:b/>
          <w:color w:val="0000FF"/>
          <w:sz w:val="21"/>
          <w:szCs w:val="21"/>
        </w:rPr>
      </w:pPr>
    </w:p>
    <w:p w:rsidR="00732C5D" w:rsidRDefault="00732C5D" w:rsidP="00547F8B">
      <w:pPr>
        <w:rPr>
          <w:rFonts w:ascii="Arial" w:hAnsi="Arial" w:cs="Arial"/>
          <w:b/>
          <w:color w:val="FF0000"/>
          <w:sz w:val="24"/>
          <w:szCs w:val="24"/>
        </w:rPr>
      </w:pPr>
    </w:p>
    <w:p w:rsidR="00732C5D" w:rsidRDefault="00732C5D" w:rsidP="00547F8B">
      <w:pPr>
        <w:rPr>
          <w:rFonts w:ascii="Arial" w:hAnsi="Arial" w:cs="Arial"/>
          <w:b/>
          <w:color w:val="FF0000"/>
          <w:sz w:val="24"/>
          <w:szCs w:val="24"/>
        </w:rPr>
      </w:pPr>
    </w:p>
    <w:p w:rsidR="00732C5D" w:rsidRPr="00AE1713" w:rsidRDefault="00732C5D" w:rsidP="00732C5D">
      <w:pPr>
        <w:rPr>
          <w:rFonts w:ascii="Times New Roman" w:hAnsi="Times New Roman"/>
          <w:sz w:val="24"/>
          <w:szCs w:val="24"/>
        </w:rPr>
      </w:pPr>
    </w:p>
    <w:p w:rsidR="00732C5D" w:rsidRPr="00542F2E" w:rsidRDefault="00732C5D" w:rsidP="00732C5D">
      <w:pPr>
        <w:rPr>
          <w:rFonts w:ascii="Arial" w:hAnsi="Arial" w:cs="Arial"/>
          <w:i/>
          <w:sz w:val="21"/>
          <w:szCs w:val="21"/>
        </w:rPr>
      </w:pPr>
      <w:r w:rsidRPr="00542F2E">
        <w:rPr>
          <w:rFonts w:ascii="Arial" w:hAnsi="Arial" w:cs="Arial"/>
          <w:b/>
          <w:i/>
          <w:sz w:val="21"/>
          <w:szCs w:val="21"/>
        </w:rPr>
        <w:t>UTA NOTE TO STUDENTS</w:t>
      </w:r>
      <w:r w:rsidRPr="00542F2E">
        <w:rPr>
          <w:rFonts w:ascii="Arial" w:hAnsi="Arial" w:cs="Arial"/>
          <w:i/>
          <w:sz w:val="21"/>
          <w:szCs w:val="21"/>
        </w:rPr>
        <w:t>:  You are expected to keep track of their performance throughout the semester and seek guidance from available sources (including the instructor) if your performance drops below satisfactory levels.</w:t>
      </w:r>
      <w:r>
        <w:rPr>
          <w:rFonts w:ascii="Arial" w:hAnsi="Arial" w:cs="Arial"/>
          <w:i/>
          <w:sz w:val="21"/>
          <w:szCs w:val="21"/>
        </w:rPr>
        <w:t xml:space="preserve"> </w:t>
      </w:r>
      <w:r w:rsidRPr="00542F2E">
        <w:rPr>
          <w:rFonts w:ascii="Arial" w:hAnsi="Arial" w:cs="Arial"/>
          <w:bCs/>
          <w:i/>
          <w:sz w:val="21"/>
          <w:szCs w:val="21"/>
        </w:rPr>
        <w:t xml:space="preserve">A general rule of thumb is this: for every credit hour earned, you should spend 3 hours per week working outside of class. </w:t>
      </w:r>
      <w:r w:rsidRPr="00542F2E">
        <w:rPr>
          <w:rFonts w:ascii="Arial" w:hAnsi="Arial" w:cs="Arial"/>
          <w:i/>
          <w:sz w:val="21"/>
          <w:szCs w:val="21"/>
        </w:rPr>
        <w:t xml:space="preserve">Beyond the time required to attend each class meeting, you should expect to spend at least an additional </w:t>
      </w:r>
      <w:r w:rsidRPr="00542F2E">
        <w:rPr>
          <w:rFonts w:ascii="Arial" w:hAnsi="Arial" w:cs="Arial"/>
          <w:i/>
          <w:sz w:val="21"/>
          <w:szCs w:val="21"/>
          <w:u w:val="single"/>
        </w:rPr>
        <w:t>9</w:t>
      </w:r>
      <w:r w:rsidRPr="00542F2E">
        <w:rPr>
          <w:rFonts w:ascii="Arial" w:hAnsi="Arial" w:cs="Arial"/>
          <w:i/>
          <w:sz w:val="21"/>
          <w:szCs w:val="21"/>
        </w:rPr>
        <w:t xml:space="preserve"> hours per week of your own time in course-related activities, including reading required materials, completing assignments, preparing for exams, etc. </w:t>
      </w:r>
    </w:p>
    <w:p w:rsidR="00732C5D" w:rsidRPr="0016052E" w:rsidRDefault="00732C5D" w:rsidP="00732C5D">
      <w:pPr>
        <w:rPr>
          <w:rFonts w:ascii="Arial" w:hAnsi="Arial" w:cs="Arial"/>
          <w:b/>
          <w:color w:val="0000FF"/>
          <w:sz w:val="21"/>
          <w:szCs w:val="21"/>
        </w:rPr>
      </w:pPr>
    </w:p>
    <w:p w:rsidR="00732C5D" w:rsidRPr="00542F2E" w:rsidRDefault="00732C5D" w:rsidP="00732C5D">
      <w:pPr>
        <w:rPr>
          <w:rFonts w:ascii="Arial" w:hAnsi="Arial" w:cs="Arial"/>
          <w:sz w:val="21"/>
          <w:szCs w:val="21"/>
        </w:rPr>
      </w:pPr>
      <w:r w:rsidRPr="00542F2E">
        <w:rPr>
          <w:rFonts w:ascii="Arial" w:hAnsi="Arial" w:cs="Arial"/>
          <w:b/>
          <w:sz w:val="21"/>
          <w:szCs w:val="21"/>
        </w:rPr>
        <w:t>Make-up Exams</w:t>
      </w:r>
      <w:r w:rsidRPr="00542F2E">
        <w:rPr>
          <w:rFonts w:ascii="Arial" w:hAnsi="Arial" w:cs="Arial"/>
          <w:sz w:val="21"/>
          <w:szCs w:val="21"/>
        </w:rPr>
        <w:t>: In the event of a documented medical emergency, I will schedule a make-up examination for you that wil</w:t>
      </w:r>
      <w:r>
        <w:rPr>
          <w:rFonts w:ascii="Arial" w:hAnsi="Arial" w:cs="Arial"/>
          <w:sz w:val="21"/>
          <w:szCs w:val="21"/>
        </w:rPr>
        <w:t>l take place during office hours</w:t>
      </w:r>
      <w:r w:rsidRPr="00542F2E">
        <w:rPr>
          <w:rFonts w:ascii="Arial" w:hAnsi="Arial" w:cs="Arial"/>
          <w:sz w:val="21"/>
          <w:szCs w:val="21"/>
        </w:rPr>
        <w:t>.</w:t>
      </w:r>
    </w:p>
    <w:p w:rsidR="00732C5D" w:rsidRPr="0016052E" w:rsidRDefault="00732C5D" w:rsidP="00732C5D">
      <w:pPr>
        <w:rPr>
          <w:rFonts w:ascii="Arial" w:hAnsi="Arial" w:cs="Arial"/>
          <w:b/>
          <w:color w:val="0000FF"/>
          <w:sz w:val="21"/>
          <w:szCs w:val="21"/>
        </w:rPr>
      </w:pPr>
    </w:p>
    <w:p w:rsidR="00732C5D" w:rsidRDefault="00732C5D" w:rsidP="00732C5D">
      <w:pPr>
        <w:rPr>
          <w:rFonts w:ascii="Arial" w:hAnsi="Arial" w:cs="Arial"/>
          <w:sz w:val="21"/>
          <w:szCs w:val="21"/>
        </w:rPr>
      </w:pPr>
      <w:r w:rsidRPr="008C01B5">
        <w:rPr>
          <w:rFonts w:ascii="Arial" w:hAnsi="Arial" w:cs="Arial"/>
          <w:b/>
          <w:sz w:val="21"/>
          <w:szCs w:val="21"/>
        </w:rPr>
        <w:t>Grade Grievances</w:t>
      </w:r>
      <w:r w:rsidRPr="008C01B5">
        <w:rPr>
          <w:rFonts w:ascii="Arial" w:hAnsi="Arial" w:cs="Arial"/>
          <w:sz w:val="21"/>
          <w:szCs w:val="21"/>
        </w:rPr>
        <w:t xml:space="preserve">:  Any appeal of a grade in this course must follow the procedures and deadlines for grade-related grievances as published in the current </w:t>
      </w:r>
      <w:r>
        <w:rPr>
          <w:rFonts w:ascii="Arial" w:hAnsi="Arial" w:cs="Arial"/>
          <w:sz w:val="21"/>
          <w:szCs w:val="21"/>
        </w:rPr>
        <w:t xml:space="preserve">undergraduate </w:t>
      </w:r>
      <w:r w:rsidRPr="008C01B5">
        <w:rPr>
          <w:rFonts w:ascii="Arial" w:hAnsi="Arial" w:cs="Arial"/>
          <w:sz w:val="21"/>
          <w:szCs w:val="21"/>
        </w:rPr>
        <w:t xml:space="preserve">catalog. </w:t>
      </w:r>
      <w:r>
        <w:rPr>
          <w:rFonts w:ascii="Arial" w:hAnsi="Arial" w:cs="Arial"/>
          <w:sz w:val="21"/>
          <w:szCs w:val="21"/>
        </w:rPr>
        <w:t>For the full text of this policy, s</w:t>
      </w:r>
      <w:r w:rsidRPr="008C01B5">
        <w:rPr>
          <w:rFonts w:ascii="Arial" w:hAnsi="Arial" w:cs="Arial"/>
          <w:sz w:val="21"/>
          <w:szCs w:val="21"/>
        </w:rPr>
        <w:t xml:space="preserve">ee </w:t>
      </w:r>
      <w:hyperlink r:id="rId25" w:anchor="10" w:history="1">
        <w:r w:rsidRPr="008C01B5">
          <w:rPr>
            <w:rStyle w:val="Hyperlink"/>
            <w:rFonts w:ascii="Arial" w:hAnsi="Arial" w:cs="Arial"/>
            <w:color w:val="auto"/>
            <w:sz w:val="21"/>
            <w:szCs w:val="21"/>
          </w:rPr>
          <w:t>http://wweb.uta.edu/catalog/content/general/academic_regulations.aspx#10</w:t>
        </w:r>
      </w:hyperlink>
      <w:r>
        <w:rPr>
          <w:rFonts w:ascii="Arial" w:hAnsi="Arial" w:cs="Arial"/>
          <w:sz w:val="21"/>
          <w:szCs w:val="21"/>
        </w:rPr>
        <w:t xml:space="preserve">.  </w:t>
      </w:r>
    </w:p>
    <w:p w:rsidR="00732C5D" w:rsidRPr="008A6918" w:rsidRDefault="00732C5D" w:rsidP="00732C5D">
      <w:pPr>
        <w:rPr>
          <w:rFonts w:ascii="Arial" w:hAnsi="Arial" w:cs="Arial"/>
          <w:color w:val="0000FF"/>
          <w:sz w:val="21"/>
          <w:szCs w:val="21"/>
        </w:rPr>
      </w:pPr>
    </w:p>
    <w:p w:rsidR="00732C5D" w:rsidRDefault="00732C5D" w:rsidP="00732C5D">
      <w:pPr>
        <w:pStyle w:val="NormalWeb"/>
        <w:spacing w:before="0" w:beforeAutospacing="0" w:after="0" w:afterAutospacing="0"/>
        <w:rPr>
          <w:rFonts w:ascii="Arial" w:hAnsi="Arial" w:cs="Arial"/>
          <w:sz w:val="21"/>
          <w:szCs w:val="21"/>
        </w:rPr>
      </w:pPr>
      <w:r>
        <w:rPr>
          <w:rFonts w:ascii="Arial" w:hAnsi="Arial" w:cs="Arial"/>
          <w:b/>
          <w:sz w:val="21"/>
          <w:szCs w:val="21"/>
        </w:rPr>
        <w:t xml:space="preserve">UTA </w:t>
      </w: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26" w:history="1">
        <w:r w:rsidRPr="0082256E">
          <w:rPr>
            <w:rStyle w:val="Hyperlink"/>
            <w:rFonts w:ascii="Arial" w:hAnsi="Arial" w:cs="Arial"/>
            <w:sz w:val="21"/>
            <w:szCs w:val="21"/>
          </w:rPr>
          <w:t>http://wweb.uta.edu/ses/fao</w:t>
        </w:r>
      </w:hyperlink>
      <w:r>
        <w:rPr>
          <w:rFonts w:ascii="Arial" w:hAnsi="Arial" w:cs="Arial"/>
          <w:sz w:val="21"/>
          <w:szCs w:val="21"/>
        </w:rPr>
        <w:t>).</w:t>
      </w:r>
    </w:p>
    <w:p w:rsidR="00732C5D" w:rsidRPr="0016052E" w:rsidRDefault="00732C5D" w:rsidP="00732C5D">
      <w:pPr>
        <w:pStyle w:val="NormalWeb"/>
        <w:spacing w:before="0" w:beforeAutospacing="0" w:after="0" w:afterAutospacing="0"/>
        <w:rPr>
          <w:rFonts w:ascii="Arial" w:hAnsi="Arial" w:cs="Arial"/>
          <w:sz w:val="21"/>
          <w:szCs w:val="21"/>
        </w:rPr>
      </w:pPr>
    </w:p>
    <w:p w:rsidR="00732C5D" w:rsidRPr="0016052E" w:rsidRDefault="00732C5D" w:rsidP="00732C5D">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7"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732C5D" w:rsidRPr="0016052E" w:rsidRDefault="00732C5D" w:rsidP="00732C5D">
      <w:pPr>
        <w:rPr>
          <w:rFonts w:ascii="Arial" w:hAnsi="Arial" w:cs="Arial"/>
          <w:sz w:val="21"/>
          <w:szCs w:val="21"/>
        </w:rPr>
      </w:pPr>
    </w:p>
    <w:p w:rsidR="00732C5D" w:rsidRPr="00384AFA" w:rsidRDefault="00732C5D" w:rsidP="00732C5D">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732C5D" w:rsidRPr="00384AFA" w:rsidRDefault="00732C5D" w:rsidP="00732C5D">
      <w:pPr>
        <w:keepNext/>
        <w:rPr>
          <w:rFonts w:ascii="Arial" w:hAnsi="Arial" w:cs="Arial"/>
          <w:sz w:val="21"/>
          <w:szCs w:val="21"/>
        </w:rPr>
      </w:pPr>
    </w:p>
    <w:p w:rsidR="00732C5D" w:rsidRPr="007B0CB6" w:rsidRDefault="00732C5D" w:rsidP="00732C5D">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732C5D" w:rsidRPr="007B0CB6" w:rsidRDefault="00732C5D" w:rsidP="00732C5D">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32C5D" w:rsidRDefault="00732C5D" w:rsidP="00732C5D">
      <w:pPr>
        <w:keepNext/>
        <w:rPr>
          <w:rFonts w:ascii="Arial" w:hAnsi="Arial" w:cs="Arial"/>
          <w:sz w:val="21"/>
          <w:szCs w:val="21"/>
        </w:rPr>
      </w:pPr>
    </w:p>
    <w:p w:rsidR="00732C5D" w:rsidRPr="0016052E" w:rsidRDefault="00732C5D" w:rsidP="00732C5D">
      <w:pPr>
        <w:keepNext/>
        <w:rPr>
          <w:rFonts w:ascii="Arial" w:hAnsi="Arial" w:cs="Arial"/>
          <w:sz w:val="21"/>
          <w:szCs w:val="21"/>
        </w:rPr>
      </w:pPr>
      <w:r>
        <w:rPr>
          <w:rFonts w:ascii="Arial" w:hAnsi="Arial" w:cs="Arial"/>
          <w:sz w:val="21"/>
          <w:szCs w:val="21"/>
        </w:rPr>
        <w:t xml:space="preserve">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732C5D" w:rsidRPr="0016052E" w:rsidRDefault="00732C5D" w:rsidP="00732C5D">
      <w:pPr>
        <w:rPr>
          <w:rFonts w:ascii="Arial" w:hAnsi="Arial" w:cs="Arial"/>
          <w:sz w:val="21"/>
          <w:szCs w:val="21"/>
        </w:rPr>
      </w:pPr>
    </w:p>
    <w:p w:rsidR="00732C5D" w:rsidRPr="0016052E" w:rsidRDefault="00732C5D" w:rsidP="00732C5D">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8"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29"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732C5D" w:rsidRPr="0016052E" w:rsidRDefault="00732C5D" w:rsidP="00732C5D">
      <w:pPr>
        <w:rPr>
          <w:rFonts w:ascii="Arial" w:hAnsi="Arial" w:cs="Arial"/>
          <w:b/>
          <w:sz w:val="21"/>
          <w:szCs w:val="21"/>
        </w:rPr>
      </w:pPr>
    </w:p>
    <w:p w:rsidR="00732C5D" w:rsidRDefault="00732C5D" w:rsidP="00732C5D">
      <w:pPr>
        <w:rPr>
          <w:rFonts w:ascii="Arial" w:hAnsi="Arial" w:cs="Arial"/>
          <w:b/>
          <w:sz w:val="21"/>
          <w:szCs w:val="21"/>
        </w:rPr>
      </w:pPr>
    </w:p>
    <w:p w:rsidR="00732C5D" w:rsidRPr="001E1E1B" w:rsidRDefault="00732C5D" w:rsidP="00732C5D">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0"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32C5D" w:rsidRPr="001E1E1B" w:rsidRDefault="00732C5D" w:rsidP="00732C5D">
      <w:pPr>
        <w:rPr>
          <w:rFonts w:ascii="Arial" w:hAnsi="Arial" w:cs="Arial"/>
          <w:sz w:val="21"/>
          <w:szCs w:val="21"/>
        </w:rPr>
      </w:pPr>
    </w:p>
    <w:p w:rsidR="00732C5D" w:rsidRDefault="00732C5D" w:rsidP="00732C5D">
      <w:pPr>
        <w:autoSpaceDE w:val="0"/>
        <w:autoSpaceDN w:val="0"/>
        <w:adjustRightInd w:val="0"/>
        <w:rPr>
          <w:rFonts w:ascii="Arial" w:hAnsi="Arial" w:cs="Arial"/>
          <w:bCs/>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proofErr w:type="gramStart"/>
      <w:r>
        <w:rPr>
          <w:rFonts w:ascii="Arial" w:hAnsi="Arial" w:cs="Arial"/>
          <w:bCs/>
          <w:sz w:val="21"/>
          <w:szCs w:val="21"/>
        </w:rPr>
        <w:t>categorized</w:t>
      </w:r>
      <w:proofErr w:type="gramEnd"/>
      <w:r>
        <w:rPr>
          <w:rFonts w:ascii="Arial" w:hAnsi="Arial" w:cs="Arial"/>
          <w:bCs/>
          <w:sz w:val="21"/>
          <w:szCs w:val="21"/>
        </w:rPr>
        <w:t xml:space="preserve">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9551DE">
          <w:rPr>
            <w:rStyle w:val="Hyperlink"/>
            <w:rFonts w:ascii="Arial" w:hAnsi="Arial" w:cs="Arial"/>
            <w:bCs/>
            <w:sz w:val="21"/>
            <w:szCs w:val="21"/>
          </w:rPr>
          <w:t>http://www.uta.edu/sfs</w:t>
        </w:r>
      </w:hyperlink>
      <w:r>
        <w:rPr>
          <w:rFonts w:ascii="Arial" w:hAnsi="Arial" w:cs="Arial"/>
          <w:bCs/>
          <w:sz w:val="21"/>
          <w:szCs w:val="21"/>
        </w:rPr>
        <w:t>.</w:t>
      </w:r>
    </w:p>
    <w:p w:rsidR="00732C5D" w:rsidRDefault="00732C5D" w:rsidP="00732C5D">
      <w:pPr>
        <w:autoSpaceDE w:val="0"/>
        <w:autoSpaceDN w:val="0"/>
        <w:adjustRightInd w:val="0"/>
        <w:rPr>
          <w:rFonts w:ascii="Arial" w:hAnsi="Arial" w:cs="Arial"/>
          <w:bCs/>
          <w:sz w:val="21"/>
          <w:szCs w:val="21"/>
        </w:rPr>
      </w:pPr>
    </w:p>
    <w:p w:rsidR="00732C5D" w:rsidRDefault="00732C5D" w:rsidP="00732C5D">
      <w:pPr>
        <w:rPr>
          <w:rFonts w:ascii="Arial" w:hAnsi="Arial" w:cs="Arial"/>
          <w:sz w:val="21"/>
          <w:szCs w:val="21"/>
        </w:rPr>
      </w:pPr>
      <w:r>
        <w:rPr>
          <w:rFonts w:ascii="Arial" w:hAnsi="Arial" w:cs="Arial"/>
          <w:b/>
          <w:bCs/>
          <w:sz w:val="21"/>
          <w:szCs w:val="21"/>
        </w:rPr>
        <w:t>Emergency Exit Procedures</w:t>
      </w:r>
      <w:r>
        <w:rPr>
          <w:rFonts w:ascii="Arial" w:hAnsi="Arial" w:cs="Arial"/>
          <w:b/>
          <w:bCs/>
          <w:color w:val="FF0000"/>
          <w:sz w:val="21"/>
          <w:szCs w:val="21"/>
        </w:rPr>
        <w:t>:</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32C5D" w:rsidRPr="001E1E1B" w:rsidRDefault="00732C5D" w:rsidP="00732C5D">
      <w:pPr>
        <w:autoSpaceDE w:val="0"/>
        <w:autoSpaceDN w:val="0"/>
        <w:adjustRightInd w:val="0"/>
        <w:rPr>
          <w:rFonts w:ascii="Arial" w:hAnsi="Arial" w:cs="Arial"/>
          <w:sz w:val="21"/>
          <w:szCs w:val="21"/>
        </w:rPr>
      </w:pPr>
    </w:p>
    <w:p w:rsidR="00732C5D" w:rsidRPr="009D0858" w:rsidRDefault="00732C5D" w:rsidP="00732C5D">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w:t>
      </w:r>
    </w:p>
    <w:p w:rsidR="00BC550F" w:rsidRDefault="00547F8B" w:rsidP="00547F8B">
      <w:r>
        <w:rPr>
          <w:rFonts w:ascii="Arial" w:hAnsi="Arial" w:cs="Arial"/>
          <w:b/>
          <w:color w:val="FF0000"/>
          <w:sz w:val="24"/>
          <w:szCs w:val="24"/>
        </w:rPr>
        <w:br w:type="page"/>
      </w:r>
    </w:p>
    <w:sectPr w:rsidR="00BC550F" w:rsidSect="00BC550F">
      <w:footerReference w:type="even" r:id="rId32"/>
      <w:footerReference w:type="default" r:id="rId3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97" w:rsidRDefault="00C61197" w:rsidP="000C6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197" w:rsidRDefault="00C61197" w:rsidP="00870D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97" w:rsidRDefault="00C61197" w:rsidP="000C6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493">
      <w:rPr>
        <w:rStyle w:val="PageNumber"/>
        <w:noProof/>
      </w:rPr>
      <w:t>4</w:t>
    </w:r>
    <w:r>
      <w:rPr>
        <w:rStyle w:val="PageNumber"/>
      </w:rPr>
      <w:fldChar w:fldCharType="end"/>
    </w:r>
  </w:p>
  <w:p w:rsidR="00C61197" w:rsidRDefault="00C61197" w:rsidP="00870D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47F8B"/>
    <w:rsid w:val="00007359"/>
    <w:rsid w:val="00075424"/>
    <w:rsid w:val="000814BF"/>
    <w:rsid w:val="000A6F88"/>
    <w:rsid w:val="000C62EA"/>
    <w:rsid w:val="000E312B"/>
    <w:rsid w:val="000F1B19"/>
    <w:rsid w:val="001414B5"/>
    <w:rsid w:val="00154C1D"/>
    <w:rsid w:val="00173C12"/>
    <w:rsid w:val="001E34D0"/>
    <w:rsid w:val="00222E7F"/>
    <w:rsid w:val="002A0F7E"/>
    <w:rsid w:val="002A6A34"/>
    <w:rsid w:val="002B3510"/>
    <w:rsid w:val="002C49C4"/>
    <w:rsid w:val="002D4815"/>
    <w:rsid w:val="002E7976"/>
    <w:rsid w:val="003E60C8"/>
    <w:rsid w:val="00444DCF"/>
    <w:rsid w:val="0044549E"/>
    <w:rsid w:val="004A033E"/>
    <w:rsid w:val="004B365F"/>
    <w:rsid w:val="004D7925"/>
    <w:rsid w:val="00511318"/>
    <w:rsid w:val="00525561"/>
    <w:rsid w:val="00542F2E"/>
    <w:rsid w:val="005446C9"/>
    <w:rsid w:val="00547F8B"/>
    <w:rsid w:val="00567493"/>
    <w:rsid w:val="006538F1"/>
    <w:rsid w:val="006F2D8D"/>
    <w:rsid w:val="00732C5D"/>
    <w:rsid w:val="00737F14"/>
    <w:rsid w:val="00774D38"/>
    <w:rsid w:val="007A2F0A"/>
    <w:rsid w:val="007A7052"/>
    <w:rsid w:val="007B16F8"/>
    <w:rsid w:val="00832BF4"/>
    <w:rsid w:val="0086148A"/>
    <w:rsid w:val="008619C2"/>
    <w:rsid w:val="00870D6B"/>
    <w:rsid w:val="008C01B5"/>
    <w:rsid w:val="009C6120"/>
    <w:rsid w:val="009D21C8"/>
    <w:rsid w:val="00A567CE"/>
    <w:rsid w:val="00A74026"/>
    <w:rsid w:val="00AE49D8"/>
    <w:rsid w:val="00AF4B83"/>
    <w:rsid w:val="00AF6606"/>
    <w:rsid w:val="00B336FD"/>
    <w:rsid w:val="00B774D3"/>
    <w:rsid w:val="00BC550F"/>
    <w:rsid w:val="00C33C1A"/>
    <w:rsid w:val="00C40273"/>
    <w:rsid w:val="00C61197"/>
    <w:rsid w:val="00CC696C"/>
    <w:rsid w:val="00CE506A"/>
    <w:rsid w:val="00D450F7"/>
    <w:rsid w:val="00D71D50"/>
    <w:rsid w:val="00DC6A22"/>
    <w:rsid w:val="00E23E3A"/>
    <w:rsid w:val="00E343EC"/>
    <w:rsid w:val="00E46191"/>
    <w:rsid w:val="00E6688A"/>
    <w:rsid w:val="00E77772"/>
    <w:rsid w:val="00E94A5E"/>
    <w:rsid w:val="00F91A58"/>
    <w:rsid w:val="00FD06B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nhideWhenUsed/>
    <w:rsid w:val="00547F8B"/>
    <w:pPr>
      <w:tabs>
        <w:tab w:val="center" w:pos="4680"/>
        <w:tab w:val="right" w:pos="9360"/>
      </w:tabs>
    </w:pPr>
  </w:style>
  <w:style w:type="character" w:customStyle="1" w:styleId="FooterChar">
    <w:name w:val="Footer Char"/>
    <w:basedOn w:val="DefaultParagraphFont"/>
    <w:link w:val="Footer"/>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s>
</file>

<file path=word/webSettings.xml><?xml version="1.0" encoding="utf-8"?>
<w:webSettings xmlns:r="http://schemas.openxmlformats.org/officeDocument/2006/relationships" xmlns:w="http://schemas.openxmlformats.org/wordprocessingml/2006/main">
  <w:divs>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upreme.justia.com/cases/federal/us/515/618/" TargetMode="External"/><Relationship Id="rId21" Type="http://schemas.openxmlformats.org/officeDocument/2006/relationships/hyperlink" Target="http://caselaw.findlaw.com/us-9th-circuit/1343211.html" TargetMode="External"/><Relationship Id="rId22" Type="http://schemas.openxmlformats.org/officeDocument/2006/relationships/hyperlink" Target="http://cdn.ca9.uscourts.gov/datastore/general/2014/01/29/12-17681_order_amended_opinion.pdf" TargetMode="External"/><Relationship Id="rId23" Type="http://schemas.openxmlformats.org/officeDocument/2006/relationships/hyperlink" Target="https://www.ca5.uscourts.gov/opinions/pub/11/11-50814-CV0.wpd.pdf" TargetMode="External"/><Relationship Id="rId24" Type="http://schemas.openxmlformats.org/officeDocument/2006/relationships/hyperlink" Target="http://www.ncmd.uscourts.gov/sites/default/files/opinions/11cv804_163moo.pdf" TargetMode="External"/><Relationship Id="rId25" Type="http://schemas.openxmlformats.org/officeDocument/2006/relationships/hyperlink" Target="http://wweb.uta.edu/catalog/content/general/academic_regulations.aspx" TargetMode="External"/><Relationship Id="rId26" Type="http://schemas.openxmlformats.org/officeDocument/2006/relationships/hyperlink" Target="http://wweb.uta.edu/ses/fao" TargetMode="External"/><Relationship Id="rId27" Type="http://schemas.openxmlformats.org/officeDocument/2006/relationships/hyperlink" Target="http://www.uta.edu/disability" TargetMode="External"/><Relationship Id="rId28" Type="http://schemas.openxmlformats.org/officeDocument/2006/relationships/hyperlink" Target="mailto:resources@uta.edu" TargetMode="External"/><Relationship Id="rId29" Type="http://schemas.openxmlformats.org/officeDocument/2006/relationships/hyperlink" Target="http://www.uta.edu/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umca.org/5-14/acma_case__2014-2015_1%20May%202014.pdf" TargetMode="External"/><Relationship Id="rId30" Type="http://schemas.openxmlformats.org/officeDocument/2006/relationships/hyperlink" Target="http://www.uta.edu/oit/cs/email/mavmail.php" TargetMode="External"/><Relationship Id="rId31" Type="http://schemas.openxmlformats.org/officeDocument/2006/relationships/hyperlink" Target="http://www.uta.edu/sfs" TargetMode="External"/><Relationship Id="rId32" Type="http://schemas.openxmlformats.org/officeDocument/2006/relationships/footer" Target="footer1.xml"/><Relationship Id="rId9" Type="http://schemas.openxmlformats.org/officeDocument/2006/relationships/hyperlink" Target="http://supreme.justia.com/cases/federal/us/381/479/case.html" TargetMode="External"/><Relationship Id="rId6" Type="http://schemas.openxmlformats.org/officeDocument/2006/relationships/hyperlink" Target="http://tumca.org/v3/competitions.htm" TargetMode="External"/><Relationship Id="rId7" Type="http://schemas.openxmlformats.org/officeDocument/2006/relationships/hyperlink" Target="http://notabug.com/kozinski/mootcourt" TargetMode="External"/><Relationship Id="rId8" Type="http://schemas.openxmlformats.org/officeDocument/2006/relationships/hyperlink" Target="http://tumca.org/5-14/acma_case__2014-2015_1%20May%202014.pdf"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upreme.justia.com/cases/federal/us/492/490/" TargetMode="External"/><Relationship Id="rId11" Type="http://schemas.openxmlformats.org/officeDocument/2006/relationships/hyperlink" Target="http://supreme.justia.com/cases/federal/us/497/417/" TargetMode="External"/><Relationship Id="rId12" Type="http://schemas.openxmlformats.org/officeDocument/2006/relationships/hyperlink" Target="http://supreme.justia.com/cases/federal/us/505/833/" TargetMode="External"/><Relationship Id="rId13" Type="http://schemas.openxmlformats.org/officeDocument/2006/relationships/hyperlink" Target="http://supreme.justia.com/cases/federal/us/530/914/case.html" TargetMode="External"/><Relationship Id="rId14" Type="http://schemas.openxmlformats.org/officeDocument/2006/relationships/hyperlink" Target="http://www.supremecourt.gov/opinions/06pdf/05-380.pdf" TargetMode="External"/><Relationship Id="rId15" Type="http://schemas.openxmlformats.org/officeDocument/2006/relationships/hyperlink" Target="http://media.ca8.uscourts.gov/opndir/12/07/093231P.pdf" TargetMode="External"/><Relationship Id="rId16" Type="http://schemas.openxmlformats.org/officeDocument/2006/relationships/hyperlink" Target="http://supreme.justia.com/cases/federal/us/430/705/" TargetMode="External"/><Relationship Id="rId17" Type="http://schemas.openxmlformats.org/officeDocument/2006/relationships/hyperlink" Target="http://supreme.justia.com/cases/federal/us/447/530/" TargetMode="External"/><Relationship Id="rId18" Type="http://schemas.openxmlformats.org/officeDocument/2006/relationships/hyperlink" Target="http://supreme.justia.com/cases/federal/us/447/557/" TargetMode="External"/><Relationship Id="rId19" Type="http://schemas.openxmlformats.org/officeDocument/2006/relationships/hyperlink" Target="http://law.justia.com/cases/federal/appellate-courts/F2/860/602/465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1856</Words>
  <Characters>10582</Characters>
  <Application>Microsoft Macintosh Word</Application>
  <DocSecurity>0</DocSecurity>
  <Lines>88</Lines>
  <Paragraphs>21</Paragraphs>
  <ScaleCrop>false</ScaleCrop>
  <Company>University of Texas at Arlington</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8</cp:revision>
  <cp:lastPrinted>2012-08-24T04:12:00Z</cp:lastPrinted>
  <dcterms:created xsi:type="dcterms:W3CDTF">2013-08-27T00:18:00Z</dcterms:created>
  <dcterms:modified xsi:type="dcterms:W3CDTF">2014-08-11T07:46:00Z</dcterms:modified>
</cp:coreProperties>
</file>