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Pr="00D34DCA" w:rsidRDefault="00A47DF3" w:rsidP="00547F8B">
      <w:pPr>
        <w:jc w:val="center"/>
        <w:rPr>
          <w:rFonts w:ascii="Arial" w:hAnsi="Arial" w:cs="Arial"/>
          <w:sz w:val="24"/>
          <w:szCs w:val="21"/>
        </w:rPr>
      </w:pPr>
      <w:r w:rsidRPr="00D34DCA">
        <w:rPr>
          <w:rFonts w:ascii="Arial" w:hAnsi="Arial" w:cs="Arial"/>
          <w:b/>
          <w:sz w:val="24"/>
          <w:szCs w:val="21"/>
        </w:rPr>
        <w:t>HIST 3317</w:t>
      </w:r>
      <w:r w:rsidR="00547F8B" w:rsidRPr="00D34DCA">
        <w:rPr>
          <w:rFonts w:ascii="Arial" w:hAnsi="Arial" w:cs="Arial"/>
          <w:b/>
          <w:sz w:val="24"/>
          <w:szCs w:val="21"/>
        </w:rPr>
        <w:t xml:space="preserve">: </w:t>
      </w:r>
      <w:r w:rsidR="00547F8B" w:rsidRPr="00D34DCA">
        <w:rPr>
          <w:rFonts w:ascii="Arial" w:hAnsi="Arial" w:cs="Arial"/>
          <w:sz w:val="24"/>
          <w:szCs w:val="21"/>
        </w:rPr>
        <w:t>AMERICAN LEGAL AND CONSTITUTIONAL HISTORY</w:t>
      </w:r>
      <w:r w:rsidR="009E657B" w:rsidRPr="00D34DCA">
        <w:rPr>
          <w:rFonts w:ascii="Arial" w:hAnsi="Arial" w:cs="Arial"/>
          <w:sz w:val="24"/>
          <w:szCs w:val="21"/>
        </w:rPr>
        <w:t xml:space="preserve"> TO </w:t>
      </w:r>
      <w:r w:rsidR="00E705C4" w:rsidRPr="00D34DCA">
        <w:rPr>
          <w:rFonts w:ascii="Arial" w:hAnsi="Arial" w:cs="Arial"/>
          <w:sz w:val="24"/>
          <w:szCs w:val="21"/>
        </w:rPr>
        <w:t>1900</w:t>
      </w:r>
    </w:p>
    <w:p w:rsidR="00547F8B" w:rsidRPr="00D34DCA" w:rsidRDefault="00826538" w:rsidP="00547F8B">
      <w:pPr>
        <w:jc w:val="center"/>
        <w:rPr>
          <w:rFonts w:ascii="Arial" w:hAnsi="Arial" w:cs="Arial"/>
          <w:sz w:val="24"/>
          <w:szCs w:val="21"/>
        </w:rPr>
      </w:pPr>
      <w:r>
        <w:rPr>
          <w:rFonts w:ascii="Arial" w:hAnsi="Arial" w:cs="Arial"/>
          <w:sz w:val="24"/>
          <w:szCs w:val="21"/>
        </w:rPr>
        <w:t>Spring 2015</w:t>
      </w:r>
    </w:p>
    <w:p w:rsidR="00547F8B" w:rsidRPr="00D34DCA" w:rsidRDefault="00547F8B" w:rsidP="00547F8B">
      <w:pPr>
        <w:rPr>
          <w:rFonts w:ascii="Arial" w:hAnsi="Arial" w:cs="Arial"/>
          <w:sz w:val="24"/>
          <w:szCs w:val="21"/>
        </w:rPr>
      </w:pPr>
    </w:p>
    <w:p w:rsidR="00547F8B" w:rsidRPr="00D34DCA" w:rsidRDefault="008619C2" w:rsidP="00547F8B">
      <w:pPr>
        <w:rPr>
          <w:rFonts w:ascii="Arial" w:hAnsi="Arial" w:cs="Arial"/>
          <w:sz w:val="24"/>
          <w:szCs w:val="21"/>
        </w:rPr>
      </w:pPr>
      <w:r w:rsidRPr="00D34DCA">
        <w:rPr>
          <w:rFonts w:ascii="Arial" w:hAnsi="Arial" w:cs="Arial"/>
          <w:b/>
          <w:sz w:val="24"/>
          <w:szCs w:val="21"/>
        </w:rPr>
        <w:t>Instructor</w:t>
      </w:r>
      <w:r w:rsidR="00547F8B" w:rsidRPr="00D34DCA">
        <w:rPr>
          <w:rFonts w:ascii="Arial" w:hAnsi="Arial" w:cs="Arial"/>
          <w:b/>
          <w:sz w:val="24"/>
          <w:szCs w:val="21"/>
        </w:rPr>
        <w:t xml:space="preserve">: </w:t>
      </w:r>
      <w:r w:rsidR="00222E7F" w:rsidRPr="00D34DCA">
        <w:rPr>
          <w:rFonts w:ascii="Arial" w:hAnsi="Arial" w:cs="Arial"/>
          <w:sz w:val="24"/>
          <w:szCs w:val="21"/>
        </w:rPr>
        <w:t>Oliver Lee Bateman</w:t>
      </w:r>
      <w:r w:rsidR="00A05F50" w:rsidRPr="00D34DCA">
        <w:rPr>
          <w:rFonts w:ascii="Arial" w:hAnsi="Arial" w:cs="Arial"/>
          <w:sz w:val="24"/>
          <w:szCs w:val="21"/>
        </w:rPr>
        <w:t>, JD, Ph.D.</w:t>
      </w:r>
    </w:p>
    <w:p w:rsidR="00547F8B" w:rsidRPr="00D34DCA" w:rsidRDefault="00547F8B" w:rsidP="00547F8B">
      <w:pPr>
        <w:rPr>
          <w:rFonts w:ascii="Arial" w:hAnsi="Arial" w:cs="Arial"/>
          <w:b/>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Office Number: </w:t>
      </w:r>
      <w:r w:rsidR="001A1732">
        <w:rPr>
          <w:rFonts w:ascii="Arial" w:hAnsi="Arial" w:cs="Arial"/>
          <w:sz w:val="24"/>
          <w:szCs w:val="21"/>
        </w:rPr>
        <w:t>UNIVERSITY HALL,</w:t>
      </w:r>
      <w:r w:rsidR="00222E7F" w:rsidRPr="00D34DCA">
        <w:rPr>
          <w:rFonts w:ascii="Arial" w:hAnsi="Arial" w:cs="Arial"/>
          <w:sz w:val="24"/>
          <w:szCs w:val="21"/>
        </w:rPr>
        <w:t xml:space="preserve"> </w:t>
      </w:r>
      <w:r w:rsidR="001A1732">
        <w:rPr>
          <w:rFonts w:ascii="Arial" w:hAnsi="Arial" w:cs="Arial"/>
          <w:sz w:val="24"/>
          <w:szCs w:val="21"/>
        </w:rPr>
        <w:t>ROOM 329</w:t>
      </w:r>
    </w:p>
    <w:p w:rsidR="00547F8B" w:rsidRPr="00D34DCA" w:rsidRDefault="00547F8B" w:rsidP="00547F8B">
      <w:pPr>
        <w:rPr>
          <w:rFonts w:ascii="Arial" w:hAnsi="Arial" w:cs="Arial"/>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Office Telephone Number: </w:t>
      </w:r>
      <w:r w:rsidR="00222E7F" w:rsidRPr="00D34DCA">
        <w:rPr>
          <w:rFonts w:ascii="Arial" w:hAnsi="Arial" w:cs="Arial"/>
          <w:b/>
          <w:sz w:val="24"/>
          <w:szCs w:val="21"/>
        </w:rPr>
        <w:t>817-272-2861</w:t>
      </w:r>
    </w:p>
    <w:p w:rsidR="00547F8B" w:rsidRPr="00D34DCA" w:rsidRDefault="00547F8B" w:rsidP="00547F8B">
      <w:pPr>
        <w:rPr>
          <w:rFonts w:ascii="Arial" w:hAnsi="Arial" w:cs="Arial"/>
          <w:b/>
          <w:sz w:val="24"/>
          <w:szCs w:val="21"/>
        </w:rPr>
      </w:pPr>
    </w:p>
    <w:p w:rsidR="00547F8B" w:rsidRPr="00D34DCA" w:rsidRDefault="00547F8B" w:rsidP="00547F8B">
      <w:pPr>
        <w:rPr>
          <w:rFonts w:ascii="Arial" w:hAnsi="Arial" w:cs="Arial"/>
          <w:sz w:val="24"/>
          <w:szCs w:val="21"/>
        </w:rPr>
      </w:pPr>
      <w:r w:rsidRPr="00D34DCA">
        <w:rPr>
          <w:rFonts w:ascii="Arial" w:hAnsi="Arial" w:cs="Arial"/>
          <w:b/>
          <w:sz w:val="24"/>
          <w:szCs w:val="21"/>
        </w:rPr>
        <w:t xml:space="preserve">Email Address: </w:t>
      </w:r>
      <w:r w:rsidR="00222E7F" w:rsidRPr="00D34DCA">
        <w:rPr>
          <w:rFonts w:ascii="Arial" w:hAnsi="Arial" w:cs="Arial"/>
          <w:sz w:val="24"/>
          <w:szCs w:val="21"/>
        </w:rPr>
        <w:t>oliver.bateman@uta.edu</w:t>
      </w:r>
    </w:p>
    <w:p w:rsidR="00547F8B" w:rsidRPr="00D34DCA" w:rsidRDefault="00547F8B" w:rsidP="00547F8B">
      <w:pPr>
        <w:rPr>
          <w:rFonts w:ascii="Arial" w:hAnsi="Arial" w:cs="Arial"/>
          <w:sz w:val="24"/>
          <w:szCs w:val="21"/>
        </w:rPr>
      </w:pPr>
    </w:p>
    <w:p w:rsidR="00D34DCA" w:rsidRPr="00D34DCA" w:rsidRDefault="00547F8B" w:rsidP="00547F8B">
      <w:pPr>
        <w:rPr>
          <w:rFonts w:ascii="Arial" w:hAnsi="Arial" w:cs="Arial"/>
          <w:sz w:val="24"/>
          <w:szCs w:val="24"/>
        </w:rPr>
      </w:pPr>
      <w:r w:rsidRPr="00D34DCA">
        <w:rPr>
          <w:rFonts w:ascii="Arial" w:hAnsi="Arial" w:cs="Arial"/>
          <w:b/>
          <w:sz w:val="24"/>
          <w:szCs w:val="21"/>
        </w:rPr>
        <w:t xml:space="preserve">Office Hours: </w:t>
      </w:r>
      <w:r w:rsidR="001A1732">
        <w:rPr>
          <w:rFonts w:ascii="Arial" w:hAnsi="Arial" w:cs="Arial"/>
          <w:sz w:val="24"/>
          <w:szCs w:val="24"/>
        </w:rPr>
        <w:t>Th 3:00-6:00 or by appointment</w:t>
      </w:r>
    </w:p>
    <w:p w:rsidR="00547F8B" w:rsidRPr="00D34DCA" w:rsidRDefault="00547F8B" w:rsidP="00547F8B">
      <w:pPr>
        <w:rPr>
          <w:rFonts w:ascii="Arial" w:hAnsi="Arial" w:cs="Arial"/>
          <w:b/>
          <w:sz w:val="24"/>
          <w:szCs w:val="21"/>
        </w:rPr>
      </w:pPr>
      <w:r w:rsidRPr="00D34DCA">
        <w:rPr>
          <w:rFonts w:ascii="Arial" w:hAnsi="Arial" w:cs="Arial"/>
          <w:b/>
          <w:sz w:val="24"/>
          <w:szCs w:val="21"/>
        </w:rPr>
        <w:t xml:space="preserve"> </w:t>
      </w:r>
    </w:p>
    <w:p w:rsidR="007B16F8" w:rsidRPr="00D34DCA" w:rsidRDefault="00547F8B" w:rsidP="00547F8B">
      <w:pPr>
        <w:rPr>
          <w:rFonts w:ascii="Arial" w:hAnsi="Arial" w:cs="Arial"/>
          <w:sz w:val="24"/>
          <w:szCs w:val="21"/>
        </w:rPr>
      </w:pPr>
      <w:r w:rsidRPr="00D34DCA">
        <w:rPr>
          <w:rFonts w:ascii="Arial" w:hAnsi="Arial" w:cs="Arial"/>
          <w:b/>
          <w:sz w:val="24"/>
          <w:szCs w:val="21"/>
        </w:rPr>
        <w:t xml:space="preserve">Time and Place of Class Meetings: </w:t>
      </w:r>
      <w:r w:rsidR="00D34DCA" w:rsidRPr="00D34DCA">
        <w:rPr>
          <w:rFonts w:ascii="Arial" w:hAnsi="Arial"/>
          <w:sz w:val="24"/>
        </w:rPr>
        <w:t xml:space="preserve">UNIVERSITY HALL, Room 01, Tu-Th </w:t>
      </w:r>
      <w:r w:rsidR="001A1732">
        <w:rPr>
          <w:rFonts w:ascii="Arial" w:hAnsi="Arial"/>
          <w:sz w:val="24"/>
        </w:rPr>
        <w:t>11:00 a.m.-12:20 p.m.</w:t>
      </w:r>
    </w:p>
    <w:p w:rsidR="00547F8B" w:rsidRPr="00D34DCA" w:rsidRDefault="00547F8B" w:rsidP="00547F8B">
      <w:pPr>
        <w:rPr>
          <w:rFonts w:ascii="Arial" w:hAnsi="Arial" w:cs="Arial"/>
          <w:b/>
          <w:sz w:val="24"/>
          <w:szCs w:val="21"/>
        </w:rPr>
      </w:pPr>
    </w:p>
    <w:p w:rsidR="00A24072" w:rsidRPr="00D34DCA" w:rsidRDefault="00547F8B" w:rsidP="00BC550F">
      <w:pPr>
        <w:jc w:val="both"/>
        <w:rPr>
          <w:rFonts w:ascii="Arial" w:hAnsi="Arial"/>
          <w:sz w:val="24"/>
        </w:rPr>
      </w:pPr>
      <w:r w:rsidRPr="00D34DCA">
        <w:rPr>
          <w:rFonts w:ascii="Arial" w:hAnsi="Arial" w:cs="Arial"/>
          <w:b/>
          <w:sz w:val="24"/>
          <w:szCs w:val="21"/>
        </w:rPr>
        <w:t xml:space="preserve">Description of Course Content: </w:t>
      </w:r>
      <w:r w:rsidR="00A24072" w:rsidRPr="00D34DCA">
        <w:rPr>
          <w:rFonts w:ascii="Arial" w:hAnsi="Arial"/>
          <w:sz w:val="24"/>
        </w:rPr>
        <w:t>HIST 3317 traces the adaptation of laws to changing social and economic needs with emphasis on the interrelations of law, public opinion, the legal profession, judiciary, and the political process. Topics include the transatlantic origins of American law, slavery and indentured servitude, poor laws and dependency, family law and gender,</w:t>
      </w:r>
      <w:r w:rsidR="00A12230">
        <w:rPr>
          <w:rFonts w:ascii="Arial" w:hAnsi="Arial"/>
          <w:sz w:val="24"/>
        </w:rPr>
        <w:t xml:space="preserve"> disability,</w:t>
      </w:r>
      <w:r w:rsidR="00A24072" w:rsidRPr="00D34DCA">
        <w:rPr>
          <w:rFonts w:ascii="Arial" w:hAnsi="Arial"/>
          <w:sz w:val="24"/>
        </w:rPr>
        <w:t xml:space="preserve"> developments in criminal and civil law, and the failure of Reconstruction.</w:t>
      </w:r>
    </w:p>
    <w:p w:rsidR="00A24072" w:rsidRDefault="00A24072" w:rsidP="00BC550F">
      <w:pPr>
        <w:jc w:val="both"/>
        <w:rPr>
          <w:rFonts w:ascii="Arial" w:hAnsi="Arial"/>
        </w:rPr>
      </w:pPr>
    </w:p>
    <w:p w:rsidR="00693DC3" w:rsidRPr="00703DBC" w:rsidRDefault="00547F8B" w:rsidP="00693DC3">
      <w:pPr>
        <w:jc w:val="both"/>
        <w:rPr>
          <w:rFonts w:ascii="Arial" w:hAnsi="Arial" w:cs="Arial"/>
          <w:sz w:val="21"/>
          <w:szCs w:val="21"/>
        </w:rPr>
      </w:pPr>
      <w:r w:rsidRPr="0016052E">
        <w:rPr>
          <w:rFonts w:ascii="Arial" w:hAnsi="Arial" w:cs="Arial"/>
          <w:b/>
          <w:sz w:val="21"/>
          <w:szCs w:val="21"/>
        </w:rPr>
        <w:t>Student Learning Outcomes:</w:t>
      </w:r>
      <w:r w:rsidR="00693DC3" w:rsidRPr="00693DC3">
        <w:rPr>
          <w:rFonts w:ascii="Arial" w:hAnsi="Arial" w:cs="Arial"/>
          <w:sz w:val="21"/>
          <w:szCs w:val="21"/>
        </w:rPr>
        <w:t xml:space="preserve"> </w:t>
      </w:r>
      <w:r w:rsidR="00693DC3" w:rsidRPr="00703DBC">
        <w:rPr>
          <w:rFonts w:ascii="Arial" w:hAnsi="Arial" w:cs="Arial"/>
          <w:sz w:val="21"/>
          <w:szCs w:val="21"/>
        </w:rPr>
        <w:t>During this cou</w:t>
      </w:r>
      <w:r w:rsidR="00693DC3">
        <w:rPr>
          <w:rFonts w:ascii="Arial" w:hAnsi="Arial" w:cs="Arial"/>
          <w:sz w:val="21"/>
          <w:szCs w:val="21"/>
        </w:rPr>
        <w:t>rse, students will learn how to:</w:t>
      </w:r>
      <w:r w:rsidR="00693DC3" w:rsidRPr="00703DBC">
        <w:rPr>
          <w:rFonts w:ascii="Arial" w:hAnsi="Arial" w:cs="Arial"/>
          <w:sz w:val="21"/>
          <w:szCs w:val="21"/>
        </w:rPr>
        <w:t xml:space="preserve"> </w:t>
      </w:r>
    </w:p>
    <w:p w:rsidR="00693DC3" w:rsidRPr="00703DBC" w:rsidRDefault="00693DC3" w:rsidP="00693DC3">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t xml:space="preserve">identify key events, peoples, individuals, terms, periods, and chronology of the </w:t>
      </w:r>
      <w:r>
        <w:rPr>
          <w:rFonts w:ascii="Arial" w:hAnsi="Arial" w:cs="Arial"/>
          <w:sz w:val="21"/>
          <w:szCs w:val="21"/>
        </w:rPr>
        <w:t>legal history of the United States</w:t>
      </w:r>
    </w:p>
    <w:p w:rsidR="00693DC3" w:rsidRPr="00703DBC" w:rsidRDefault="00693DC3" w:rsidP="00693DC3">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t>develop critical thinking skills by discussing the living nature of</w:t>
      </w:r>
      <w:r>
        <w:rPr>
          <w:rFonts w:ascii="Arial" w:hAnsi="Arial" w:cs="Arial"/>
          <w:sz w:val="21"/>
          <w:szCs w:val="21"/>
        </w:rPr>
        <w:t xml:space="preserve"> legal</w:t>
      </w:r>
      <w:r w:rsidRPr="00703DBC">
        <w:rPr>
          <w:rFonts w:ascii="Arial" w:hAnsi="Arial" w:cs="Arial"/>
          <w:sz w:val="21"/>
          <w:szCs w:val="21"/>
        </w:rPr>
        <w:t xml:space="preserve"> history, using </w:t>
      </w:r>
      <w:r>
        <w:rPr>
          <w:rFonts w:ascii="Arial" w:hAnsi="Arial" w:cs="Arial"/>
          <w:sz w:val="21"/>
          <w:szCs w:val="21"/>
        </w:rPr>
        <w:t>primary sources</w:t>
      </w:r>
      <w:r w:rsidRPr="00703DBC">
        <w:rPr>
          <w:rFonts w:ascii="Arial" w:hAnsi="Arial" w:cs="Arial"/>
          <w:sz w:val="21"/>
          <w:szCs w:val="21"/>
        </w:rPr>
        <w:t xml:space="preserve"> to critique competing interpretations of the same historical events, explaining the nature of </w:t>
      </w:r>
      <w:r>
        <w:rPr>
          <w:rFonts w:ascii="Arial" w:hAnsi="Arial" w:cs="Arial"/>
          <w:sz w:val="21"/>
          <w:szCs w:val="21"/>
        </w:rPr>
        <w:t>controversies in legal history</w:t>
      </w:r>
    </w:p>
    <w:p w:rsidR="00693DC3" w:rsidRPr="00703DBC" w:rsidRDefault="00693DC3" w:rsidP="00693DC3">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t>synthesize diverse historical information and evidence related to broad themes of U.S.</w:t>
      </w:r>
      <w:r>
        <w:rPr>
          <w:rFonts w:ascii="Arial" w:hAnsi="Arial" w:cs="Arial"/>
          <w:sz w:val="21"/>
          <w:szCs w:val="21"/>
        </w:rPr>
        <w:t xml:space="preserve"> legal</w:t>
      </w:r>
      <w:r w:rsidRPr="00703DBC">
        <w:rPr>
          <w:rFonts w:ascii="Arial" w:hAnsi="Arial" w:cs="Arial"/>
          <w:sz w:val="21"/>
          <w:szCs w:val="21"/>
        </w:rPr>
        <w:t xml:space="preserve"> history and present this information in coherent, well-articulated, and well-substantiated analytical discussions and other written assignments</w:t>
      </w:r>
    </w:p>
    <w:p w:rsidR="00693DC3" w:rsidRPr="00703DBC" w:rsidRDefault="00693DC3" w:rsidP="00693DC3">
      <w:pPr>
        <w:ind w:left="720" w:hanging="720"/>
        <w:jc w:val="both"/>
        <w:rPr>
          <w:rFonts w:ascii="Arial" w:hAnsi="Arial" w:cs="Arial"/>
          <w:sz w:val="21"/>
          <w:szCs w:val="21"/>
        </w:rPr>
      </w:pPr>
      <w:r w:rsidRPr="00703DBC">
        <w:rPr>
          <w:rFonts w:ascii="Arial" w:hAnsi="Arial" w:cs="Arial"/>
          <w:sz w:val="21"/>
          <w:szCs w:val="21"/>
        </w:rPr>
        <w:t>•</w:t>
      </w:r>
      <w:r w:rsidRPr="00703DBC">
        <w:rPr>
          <w:rFonts w:ascii="Arial" w:hAnsi="Arial" w:cs="Arial"/>
          <w:sz w:val="21"/>
          <w:szCs w:val="21"/>
        </w:rPr>
        <w:tab/>
        <w:t>develop the ability to connect choices, actions, and consequences to decision making by examining the motivations and actions of key figures in U.S.</w:t>
      </w:r>
      <w:r>
        <w:rPr>
          <w:rFonts w:ascii="Arial" w:hAnsi="Arial" w:cs="Arial"/>
          <w:sz w:val="21"/>
          <w:szCs w:val="21"/>
        </w:rPr>
        <w:t xml:space="preserve"> legal</w:t>
      </w:r>
      <w:r w:rsidRPr="00703DBC">
        <w:rPr>
          <w:rFonts w:ascii="Arial" w:hAnsi="Arial" w:cs="Arial"/>
          <w:sz w:val="21"/>
          <w:szCs w:val="21"/>
        </w:rPr>
        <w:t xml:space="preserve"> history </w:t>
      </w:r>
    </w:p>
    <w:p w:rsidR="00547F8B" w:rsidRPr="00920E54" w:rsidRDefault="00547F8B" w:rsidP="00693DC3">
      <w:pPr>
        <w:jc w:val="both"/>
        <w:rPr>
          <w:rFonts w:ascii="Arial" w:hAnsi="Arial" w:cs="Arial"/>
          <w:color w:val="FF0000"/>
          <w:sz w:val="21"/>
          <w:szCs w:val="21"/>
        </w:rPr>
      </w:pPr>
    </w:p>
    <w:p w:rsidR="00547F8B" w:rsidRPr="0016052E" w:rsidRDefault="00547F8B" w:rsidP="00547F8B">
      <w:pPr>
        <w:rPr>
          <w:rFonts w:ascii="Arial" w:hAnsi="Arial" w:cs="Arial"/>
          <w:b/>
          <w:sz w:val="21"/>
          <w:szCs w:val="21"/>
        </w:rPr>
      </w:pPr>
    </w:p>
    <w:p w:rsidR="00864A29" w:rsidRDefault="00547F8B" w:rsidP="00864A29">
      <w:r w:rsidRPr="0016052E">
        <w:rPr>
          <w:rFonts w:ascii="Arial" w:hAnsi="Arial" w:cs="Arial"/>
          <w:b/>
          <w:sz w:val="21"/>
          <w:szCs w:val="21"/>
        </w:rPr>
        <w:t xml:space="preserve">Required Textbooks and Other Course Materials: </w:t>
      </w:r>
      <w:r w:rsidR="00864A29">
        <w:rPr>
          <w:b/>
        </w:rPr>
        <w:br/>
      </w:r>
      <w:r w:rsidR="00864A29">
        <w:br/>
        <w:t>Courtwatchers, CUSHMAN</w:t>
      </w:r>
      <w:r w:rsidR="00864A29">
        <w:br/>
      </w:r>
      <w:hyperlink r:id="rId5" w:history="1">
        <w:r w:rsidR="00864A29">
          <w:rPr>
            <w:rStyle w:val="Hyperlink"/>
          </w:rPr>
          <w:t>http://www.amazon.com/Courtwatchers-Eyewitness-Accounts-Supreme-History/dp/1442212454</w:t>
        </w:r>
      </w:hyperlink>
    </w:p>
    <w:p w:rsidR="00864A29" w:rsidRDefault="00864A29" w:rsidP="0063085E">
      <w:pPr>
        <w:numPr>
          <w:ilvl w:val="0"/>
          <w:numId w:val="17"/>
        </w:numPr>
        <w:spacing w:beforeLines="1" w:afterLines="1"/>
      </w:pPr>
      <w:r>
        <w:rPr>
          <w:rFonts w:ascii="Verdana" w:hAnsi="Verdana"/>
          <w:b/>
        </w:rPr>
        <w:t>ISBN-10:</w:t>
      </w:r>
      <w:r>
        <w:rPr>
          <w:rFonts w:ascii="Arial" w:hAnsi="Arial"/>
        </w:rPr>
        <w:t xml:space="preserve"> 1442212454 </w:t>
      </w:r>
    </w:p>
    <w:p w:rsidR="00864A29" w:rsidRDefault="00864A29" w:rsidP="0063085E">
      <w:pPr>
        <w:numPr>
          <w:ilvl w:val="0"/>
          <w:numId w:val="17"/>
        </w:numPr>
        <w:spacing w:beforeLines="1" w:afterLines="1"/>
      </w:pPr>
      <w:r>
        <w:rPr>
          <w:rFonts w:ascii="Verdana" w:hAnsi="Verdana"/>
          <w:b/>
        </w:rPr>
        <w:t>ISBN-13:</w:t>
      </w:r>
      <w:r>
        <w:rPr>
          <w:rFonts w:ascii="Arial" w:hAnsi="Arial"/>
        </w:rPr>
        <w:t> 978-1442212459</w:t>
      </w:r>
    </w:p>
    <w:p w:rsidR="00864A29" w:rsidRDefault="00864A29" w:rsidP="00864A29">
      <w:r>
        <w:rPr>
          <w:rFonts w:ascii="Arial" w:hAnsi="Arial"/>
        </w:rPr>
        <w:br/>
        <w:t>Cases and Materials, HALL</w:t>
      </w:r>
      <w:r>
        <w:rPr>
          <w:rFonts w:ascii="Arial" w:hAnsi="Arial"/>
        </w:rPr>
        <w:br/>
      </w:r>
      <w:hyperlink r:id="rId6" w:history="1">
        <w:r>
          <w:rPr>
            <w:rStyle w:val="Hyperlink"/>
            <w:rFonts w:ascii="Arial" w:hAnsi="Arial"/>
          </w:rPr>
          <w:t>http://www.amazon.com/American-Legal-History-Cases-Materials/dp/0195395425/ref=sr_1_6?s=books&amp;ie=UTF8&amp;qid=1414568703&amp;sr=1-6&amp;keywords=hall+finkelman</w:t>
        </w:r>
      </w:hyperlink>
    </w:p>
    <w:p w:rsidR="00864A29" w:rsidRDefault="00864A29" w:rsidP="0063085E">
      <w:pPr>
        <w:numPr>
          <w:ilvl w:val="0"/>
          <w:numId w:val="18"/>
        </w:numPr>
        <w:spacing w:beforeLines="1" w:afterLines="1"/>
      </w:pPr>
      <w:r>
        <w:rPr>
          <w:rFonts w:ascii="Verdana" w:hAnsi="Verdana"/>
          <w:b/>
        </w:rPr>
        <w:t>ISBN-10:</w:t>
      </w:r>
      <w:r>
        <w:rPr>
          <w:rFonts w:ascii="Arial" w:hAnsi="Arial"/>
        </w:rPr>
        <w:t xml:space="preserve"> 0195395425 </w:t>
      </w:r>
    </w:p>
    <w:p w:rsidR="00864A29" w:rsidRDefault="00864A29" w:rsidP="0063085E">
      <w:pPr>
        <w:numPr>
          <w:ilvl w:val="0"/>
          <w:numId w:val="18"/>
        </w:numPr>
        <w:spacing w:beforeLines="1" w:afterLines="1"/>
      </w:pPr>
      <w:r>
        <w:rPr>
          <w:rFonts w:ascii="Verdana" w:hAnsi="Verdana"/>
          <w:b/>
        </w:rPr>
        <w:t>ISBN-13:</w:t>
      </w:r>
      <w:r>
        <w:rPr>
          <w:rFonts w:ascii="Arial" w:hAnsi="Arial"/>
        </w:rPr>
        <w:t> 978-0195395426</w:t>
      </w:r>
    </w:p>
    <w:p w:rsidR="00BC550F" w:rsidRPr="00542F2E" w:rsidRDefault="00BC550F" w:rsidP="00547F8B">
      <w:pPr>
        <w:rPr>
          <w:rFonts w:ascii="Arial" w:hAnsi="Arial" w:cs="Arial"/>
          <w:sz w:val="21"/>
          <w:szCs w:val="21"/>
        </w:rPr>
      </w:pPr>
    </w:p>
    <w:p w:rsidR="003E31D1" w:rsidRDefault="00BC550F" w:rsidP="00547F8B">
      <w:pPr>
        <w:rPr>
          <w:rFonts w:ascii="Arial" w:hAnsi="Arial" w:cs="Arial"/>
          <w:sz w:val="21"/>
          <w:szCs w:val="21"/>
        </w:rPr>
      </w:pPr>
      <w:r w:rsidRPr="00542F2E">
        <w:rPr>
          <w:rFonts w:ascii="Arial" w:hAnsi="Arial" w:cs="Arial"/>
          <w:i/>
          <w:sz w:val="21"/>
          <w:szCs w:val="21"/>
        </w:rPr>
        <w:t>Note</w:t>
      </w:r>
      <w:r w:rsidRPr="00542F2E">
        <w:rPr>
          <w:rFonts w:ascii="Arial" w:hAnsi="Arial" w:cs="Arial"/>
          <w:sz w:val="21"/>
          <w:szCs w:val="21"/>
        </w:rPr>
        <w:t xml:space="preserve">:  </w:t>
      </w:r>
      <w:r w:rsidR="0009342F">
        <w:rPr>
          <w:rFonts w:ascii="Arial" w:hAnsi="Arial" w:cs="Arial"/>
          <w:sz w:val="21"/>
          <w:szCs w:val="21"/>
        </w:rPr>
        <w:t>You</w:t>
      </w:r>
      <w:r w:rsidRPr="00542F2E">
        <w:rPr>
          <w:rFonts w:ascii="Arial" w:hAnsi="Arial" w:cs="Arial"/>
          <w:sz w:val="21"/>
          <w:szCs w:val="21"/>
        </w:rPr>
        <w:t xml:space="preserve"> may, for reasons of cost or convenience, choose to th</w:t>
      </w:r>
      <w:r w:rsidR="0009342F">
        <w:rPr>
          <w:rFonts w:ascii="Arial" w:hAnsi="Arial" w:cs="Arial"/>
          <w:sz w:val="21"/>
          <w:szCs w:val="21"/>
        </w:rPr>
        <w:t xml:space="preserve">e use earlier editions of </w:t>
      </w:r>
      <w:r w:rsidR="00136276">
        <w:rPr>
          <w:rFonts w:ascii="Arial" w:hAnsi="Arial" w:cs="Arial"/>
          <w:sz w:val="21"/>
          <w:szCs w:val="21"/>
        </w:rPr>
        <w:t>this book</w:t>
      </w:r>
      <w:r w:rsidRPr="00542F2E">
        <w:rPr>
          <w:rFonts w:ascii="Arial" w:hAnsi="Arial" w:cs="Arial"/>
          <w:sz w:val="21"/>
          <w:szCs w:val="21"/>
        </w:rPr>
        <w:t xml:space="preserve">.  Please be advised that you </w:t>
      </w:r>
      <w:r w:rsidR="00542F2E" w:rsidRPr="00542F2E">
        <w:rPr>
          <w:rFonts w:ascii="Arial" w:hAnsi="Arial" w:cs="Arial"/>
          <w:sz w:val="21"/>
          <w:szCs w:val="21"/>
        </w:rPr>
        <w:t>are doing so at your own risk, as the reading assignments and examination questions will be taken from the most recent edition</w:t>
      </w:r>
      <w:r w:rsidR="003E31D1">
        <w:rPr>
          <w:rFonts w:ascii="Arial" w:hAnsi="Arial" w:cs="Arial"/>
          <w:sz w:val="21"/>
          <w:szCs w:val="21"/>
        </w:rPr>
        <w:t>.</w:t>
      </w:r>
    </w:p>
    <w:p w:rsidR="00547F8B" w:rsidRPr="0016052E" w:rsidRDefault="00547F8B" w:rsidP="00547F8B">
      <w:pPr>
        <w:rPr>
          <w:rFonts w:ascii="Arial" w:hAnsi="Arial" w:cs="Arial"/>
          <w:sz w:val="21"/>
          <w:szCs w:val="21"/>
        </w:rPr>
      </w:pPr>
    </w:p>
    <w:p w:rsidR="009D21C8" w:rsidRDefault="00B774D3" w:rsidP="00542F2E">
      <w:pPr>
        <w:jc w:val="both"/>
        <w:rPr>
          <w:rFonts w:ascii="Arial" w:hAnsi="Arial"/>
          <w:sz w:val="21"/>
        </w:rPr>
      </w:pPr>
      <w:r>
        <w:rPr>
          <w:rFonts w:ascii="Arial" w:hAnsi="Arial"/>
          <w:b/>
          <w:sz w:val="21"/>
        </w:rPr>
        <w:t xml:space="preserve">Grading:  </w:t>
      </w:r>
      <w:r w:rsidR="008F0E0F">
        <w:rPr>
          <w:rFonts w:ascii="Arial" w:hAnsi="Arial"/>
          <w:sz w:val="21"/>
        </w:rPr>
        <w:t xml:space="preserve">Your grade will consist of three </w:t>
      </w:r>
      <w:r w:rsidR="00542F2E" w:rsidRPr="008C01B5">
        <w:rPr>
          <w:rFonts w:ascii="Arial" w:hAnsi="Arial"/>
          <w:sz w:val="21"/>
        </w:rPr>
        <w:t>components:</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Midterm examination</w:t>
      </w:r>
      <w:r w:rsidRPr="008C01B5">
        <w:rPr>
          <w:rFonts w:ascii="Arial" w:hAnsi="Arial"/>
          <w:sz w:val="21"/>
        </w:rPr>
        <w:t xml:space="preserve">: </w:t>
      </w:r>
      <w:r w:rsidRPr="008C01B5">
        <w:rPr>
          <w:rFonts w:ascii="Arial" w:hAnsi="Arial"/>
          <w:sz w:val="21"/>
        </w:rPr>
        <w:tab/>
      </w:r>
      <w:r w:rsidR="004D7925">
        <w:rPr>
          <w:rFonts w:ascii="Arial" w:hAnsi="Arial"/>
          <w:sz w:val="21"/>
        </w:rPr>
        <w:tab/>
      </w:r>
      <w:r w:rsidR="001A1732">
        <w:rPr>
          <w:rFonts w:ascii="Arial" w:hAnsi="Arial"/>
          <w:sz w:val="21"/>
        </w:rPr>
        <w:t>33.3</w:t>
      </w:r>
      <w:r w:rsidRPr="008C01B5">
        <w:rPr>
          <w:rFonts w:ascii="Arial" w:hAnsi="Arial"/>
          <w:sz w:val="21"/>
        </w:rPr>
        <w:t>%</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Final examination</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001A1732">
        <w:rPr>
          <w:rFonts w:ascii="Arial" w:hAnsi="Arial"/>
          <w:sz w:val="21"/>
        </w:rPr>
        <w:t>33.3</w:t>
      </w:r>
      <w:r w:rsidRPr="008C01B5">
        <w:rPr>
          <w:rFonts w:ascii="Arial" w:hAnsi="Arial"/>
          <w:sz w:val="21"/>
        </w:rPr>
        <w:t>%</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00D34DCA">
        <w:rPr>
          <w:rFonts w:ascii="Arial" w:hAnsi="Arial"/>
          <w:b/>
          <w:sz w:val="21"/>
        </w:rPr>
        <w:t>Cas</w:t>
      </w:r>
      <w:r w:rsidR="001A1732">
        <w:rPr>
          <w:rFonts w:ascii="Arial" w:hAnsi="Arial"/>
          <w:b/>
          <w:sz w:val="21"/>
        </w:rPr>
        <w:t>e briefs (3</w:t>
      </w:r>
      <w:r w:rsidRPr="008C01B5">
        <w:rPr>
          <w:rFonts w:ascii="Arial" w:hAnsi="Arial"/>
          <w:b/>
          <w:sz w:val="21"/>
        </w:rPr>
        <w:t>)</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001A1732">
        <w:rPr>
          <w:rFonts w:ascii="Arial" w:hAnsi="Arial"/>
          <w:sz w:val="21"/>
        </w:rPr>
        <w:t>33.3</w:t>
      </w:r>
      <w:r w:rsidRPr="008C01B5">
        <w:rPr>
          <w:rFonts w:ascii="Arial" w:hAnsi="Arial"/>
          <w:sz w:val="21"/>
        </w:rPr>
        <w:t>%</w:t>
      </w:r>
    </w:p>
    <w:p w:rsidR="008C01B5" w:rsidRDefault="008C01B5" w:rsidP="00547F8B">
      <w:pPr>
        <w:rPr>
          <w:rFonts w:ascii="Arial" w:hAnsi="Arial" w:cs="Arial"/>
          <w:sz w:val="21"/>
          <w:szCs w:val="21"/>
        </w:rPr>
      </w:pPr>
    </w:p>
    <w:p w:rsidR="009F4CD2" w:rsidRDefault="009F4CD2" w:rsidP="001E34D0">
      <w:pPr>
        <w:rPr>
          <w:rFonts w:ascii="Arial" w:hAnsi="Arial"/>
          <w:sz w:val="21"/>
        </w:rPr>
      </w:pPr>
    </w:p>
    <w:p w:rsidR="00D34DCA" w:rsidRDefault="001E34D0" w:rsidP="00D34DCA">
      <w:pPr>
        <w:rPr>
          <w:rFonts w:ascii="Arial" w:hAnsi="Arial" w:cs="Arial"/>
          <w:sz w:val="21"/>
          <w:szCs w:val="21"/>
        </w:rPr>
      </w:pPr>
      <w:r w:rsidRPr="008C01B5">
        <w:rPr>
          <w:rFonts w:ascii="Arial" w:hAnsi="Arial"/>
          <w:sz w:val="21"/>
        </w:rPr>
        <w:t>Because this is an upper-division course with a heavier reading load, it will only be as successful as the preparation and thoughtfulness of its participants.  You are expected to read all of the required readings carefully before each class and come prepared to discuss those readings.</w:t>
      </w:r>
      <w:r w:rsidR="00D34DCA">
        <w:rPr>
          <w:rFonts w:ascii="Arial" w:hAnsi="Arial"/>
          <w:sz w:val="21"/>
        </w:rPr>
        <w:t xml:space="preserve"> </w:t>
      </w:r>
      <w:r w:rsidR="00D34DCA" w:rsidRPr="00811676">
        <w:rPr>
          <w:rFonts w:ascii="Arial" w:hAnsi="Arial" w:cs="Arial"/>
          <w:sz w:val="21"/>
          <w:szCs w:val="21"/>
        </w:rPr>
        <w:t xml:space="preserve">Disruptive behavior such as leaving early, reading newspapers, answering cellular phones, text messaging, and insulting classmates will not be tolerated.  </w:t>
      </w:r>
      <w:r w:rsidR="00864A29" w:rsidRPr="00864A29">
        <w:rPr>
          <w:rFonts w:ascii="Arial" w:hAnsi="Arial" w:cs="Arial"/>
          <w:b/>
          <w:sz w:val="21"/>
          <w:szCs w:val="21"/>
        </w:rPr>
        <w:t xml:space="preserve">Smartphones are a lot of fun, I know.  I mean, who doesn’t love Flappy Bird or Farmville or Mafia Wars or Angry Birds or what have you?  But would you pay $50/class to play these wonderful games, given that most are free to play or nearly so?  Because that’s what it costs to sit in each class (based on in-state tuition rates, anyway).  I’m going to try to give you your money’s worth, but it’s extremely difficult to do this if you’re fiddling around with those things. If you don’t want to pay attention, don’t come. I’m very understanding regarding </w:t>
      </w:r>
      <w:r w:rsidR="00303AFE">
        <w:rPr>
          <w:rFonts w:ascii="Arial" w:hAnsi="Arial" w:cs="Arial"/>
          <w:b/>
          <w:sz w:val="21"/>
          <w:szCs w:val="21"/>
        </w:rPr>
        <w:t>illnesses</w:t>
      </w:r>
      <w:r w:rsidR="00864A29" w:rsidRPr="00864A29">
        <w:rPr>
          <w:rFonts w:ascii="Arial" w:hAnsi="Arial" w:cs="Arial"/>
          <w:b/>
          <w:sz w:val="21"/>
          <w:szCs w:val="21"/>
        </w:rPr>
        <w:t>,</w:t>
      </w:r>
      <w:r w:rsidR="00303AFE">
        <w:rPr>
          <w:rFonts w:ascii="Arial" w:hAnsi="Arial" w:cs="Arial"/>
          <w:b/>
          <w:sz w:val="21"/>
          <w:szCs w:val="21"/>
        </w:rPr>
        <w:t xml:space="preserve"> demanding</w:t>
      </w:r>
      <w:r w:rsidR="00864A29" w:rsidRPr="00864A29">
        <w:rPr>
          <w:rFonts w:ascii="Arial" w:hAnsi="Arial" w:cs="Arial"/>
          <w:b/>
          <w:sz w:val="21"/>
          <w:szCs w:val="21"/>
        </w:rPr>
        <w:t xml:space="preserve"> work schedules, and so forth, but I can’t tolerate inattention and I don’t like wasting my own time.  My lecture performances vary in quality, but they’re usually decent.  Thus our new rule:  UNLESS YOU TELL ME BEFOREHAND, CELL PHONES MAY NOT BE VISIBLE DURING CLASS TIME.  PERIOD.</w:t>
      </w:r>
    </w:p>
    <w:p w:rsidR="008C01B5" w:rsidRPr="008C01B5" w:rsidRDefault="008C01B5" w:rsidP="001E34D0">
      <w:pPr>
        <w:rPr>
          <w:rFonts w:ascii="Arial" w:hAnsi="Arial" w:cs="Arial"/>
          <w:sz w:val="21"/>
          <w:szCs w:val="21"/>
        </w:rPr>
      </w:pPr>
    </w:p>
    <w:p w:rsidR="009D21C8" w:rsidRDefault="009D21C8" w:rsidP="00547F8B">
      <w:pPr>
        <w:rPr>
          <w:rFonts w:ascii="Arial" w:hAnsi="Arial" w:cs="Arial"/>
          <w:sz w:val="21"/>
          <w:szCs w:val="21"/>
        </w:rPr>
      </w:pPr>
    </w:p>
    <w:p w:rsidR="009D21C8" w:rsidRPr="004D7925" w:rsidRDefault="009D21C8" w:rsidP="009D21C8">
      <w:pPr>
        <w:rPr>
          <w:rFonts w:ascii="Arial" w:hAnsi="Arial" w:cs="Arial"/>
          <w:sz w:val="21"/>
          <w:szCs w:val="21"/>
        </w:rPr>
      </w:pPr>
      <w:r w:rsidRPr="009D756D">
        <w:rPr>
          <w:rFonts w:ascii="Arial" w:hAnsi="Arial" w:cs="Arial"/>
          <w:b/>
          <w:sz w:val="21"/>
          <w:szCs w:val="21"/>
        </w:rPr>
        <w:t xml:space="preserve">Descriptions of major assignments and examinations: </w:t>
      </w:r>
      <w:r w:rsidRPr="004D7925">
        <w:rPr>
          <w:rFonts w:ascii="Arial" w:hAnsi="Arial" w:cs="Arial"/>
          <w:sz w:val="21"/>
          <w:szCs w:val="21"/>
        </w:rPr>
        <w:t xml:space="preserve">The </w:t>
      </w:r>
      <w:r w:rsidRPr="004D7925">
        <w:rPr>
          <w:rFonts w:ascii="Arial" w:hAnsi="Arial" w:cs="Arial"/>
          <w:b/>
          <w:sz w:val="21"/>
          <w:szCs w:val="21"/>
        </w:rPr>
        <w:t xml:space="preserve">midterm examination </w:t>
      </w:r>
      <w:r w:rsidRPr="004D7925">
        <w:rPr>
          <w:rFonts w:ascii="Arial" w:hAnsi="Arial" w:cs="Arial"/>
          <w:sz w:val="21"/>
          <w:szCs w:val="21"/>
        </w:rPr>
        <w:t xml:space="preserve">and </w:t>
      </w:r>
      <w:r w:rsidRPr="004D7925">
        <w:rPr>
          <w:rFonts w:ascii="Arial" w:hAnsi="Arial" w:cs="Arial"/>
          <w:b/>
          <w:sz w:val="21"/>
          <w:szCs w:val="21"/>
        </w:rPr>
        <w:t xml:space="preserve">final examination </w:t>
      </w:r>
      <w:r w:rsidRPr="004D7925">
        <w:rPr>
          <w:rFonts w:ascii="Arial" w:hAnsi="Arial" w:cs="Arial"/>
          <w:sz w:val="21"/>
          <w:szCs w:val="21"/>
        </w:rPr>
        <w:t xml:space="preserve">consist of short-answer and essay questions. </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The </w:t>
      </w:r>
      <w:r w:rsidRPr="004D7925">
        <w:rPr>
          <w:rFonts w:ascii="Arial" w:hAnsi="Arial" w:cs="Arial"/>
          <w:b/>
          <w:sz w:val="21"/>
          <w:szCs w:val="21"/>
        </w:rPr>
        <w:t xml:space="preserve">case brief </w:t>
      </w:r>
      <w:r w:rsidR="004D5E4E">
        <w:rPr>
          <w:rFonts w:ascii="Arial" w:hAnsi="Arial" w:cs="Arial"/>
          <w:sz w:val="21"/>
          <w:szCs w:val="21"/>
        </w:rPr>
        <w:t>(of which 2</w:t>
      </w:r>
      <w:r w:rsidRPr="004D7925">
        <w:rPr>
          <w:rFonts w:ascii="Arial" w:hAnsi="Arial" w:cs="Arial"/>
          <w:sz w:val="21"/>
          <w:szCs w:val="21"/>
        </w:rPr>
        <w:t xml:space="preserve"> will be turned in during the course of the semester) is a </w:t>
      </w:r>
      <w:r w:rsidR="004D5E4E">
        <w:rPr>
          <w:rFonts w:ascii="Arial" w:hAnsi="Arial" w:cs="Arial"/>
          <w:sz w:val="21"/>
          <w:szCs w:val="21"/>
        </w:rPr>
        <w:t>5-8</w:t>
      </w:r>
      <w:r w:rsidRPr="004D7925">
        <w:rPr>
          <w:rFonts w:ascii="Arial" w:hAnsi="Arial" w:cs="Arial"/>
          <w:sz w:val="21"/>
          <w:szCs w:val="21"/>
        </w:rPr>
        <w:t xml:space="preserve"> page, double-spaced document in which you will address the following points in a systematic manner for that week’s “assigned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1) The relevant </w:t>
      </w:r>
      <w:r w:rsidRPr="004D7925">
        <w:rPr>
          <w:rFonts w:ascii="Arial" w:hAnsi="Arial" w:cs="Arial"/>
          <w:i/>
          <w:sz w:val="21"/>
          <w:szCs w:val="21"/>
        </w:rPr>
        <w:t xml:space="preserve">facts </w:t>
      </w:r>
      <w:r w:rsidRPr="004D7925">
        <w:rPr>
          <w:rFonts w:ascii="Arial" w:hAnsi="Arial" w:cs="Arial"/>
          <w:sz w:val="21"/>
          <w:szCs w:val="21"/>
        </w:rPr>
        <w:t>of the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2)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3)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4)  A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 such a discussion is warranted.</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5) A detailed treatment of the case’s </w:t>
      </w:r>
      <w:r w:rsidRPr="004D7925">
        <w:rPr>
          <w:rFonts w:ascii="Arial" w:hAnsi="Arial" w:cs="Arial"/>
          <w:i/>
          <w:sz w:val="21"/>
          <w:szCs w:val="21"/>
        </w:rPr>
        <w:t>historical significance</w:t>
      </w:r>
      <w:r w:rsidRPr="004D7925">
        <w:rPr>
          <w:rFonts w:ascii="Arial" w:hAnsi="Arial" w:cs="Arial"/>
          <w:sz w:val="21"/>
          <w:szCs w:val="21"/>
        </w:rPr>
        <w:t>.  This section should comprise at least 50% of your brief and consist of a careful summary of the social, political, and cultural impact of the case, as supported by citations from one of the required</w:t>
      </w:r>
      <w:r w:rsidR="002D4815">
        <w:rPr>
          <w:rFonts w:ascii="Arial" w:hAnsi="Arial" w:cs="Arial"/>
          <w:sz w:val="21"/>
          <w:szCs w:val="21"/>
        </w:rPr>
        <w:t xml:space="preserve"> text for this classic or a scholarly article found</w:t>
      </w:r>
      <w:r w:rsidRPr="004D7925">
        <w:rPr>
          <w:rFonts w:ascii="Arial" w:hAnsi="Arial" w:cs="Arial"/>
          <w:sz w:val="21"/>
          <w:szCs w:val="21"/>
        </w:rPr>
        <w:t xml:space="preserve"> using a searchable archive such as HeinOnline.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Since some—though by no means </w:t>
      </w:r>
      <w:r w:rsidRPr="004D7925">
        <w:rPr>
          <w:rFonts w:ascii="Arial" w:hAnsi="Arial" w:cs="Arial"/>
          <w:i/>
          <w:sz w:val="21"/>
          <w:szCs w:val="21"/>
        </w:rPr>
        <w:t>all</w:t>
      </w:r>
      <w:r w:rsidRPr="004D7925">
        <w:rPr>
          <w:rFonts w:ascii="Arial" w:hAnsi="Arial" w:cs="Arial"/>
          <w:sz w:val="21"/>
          <w:szCs w:val="21"/>
        </w:rPr>
        <w:t xml:space="preserve">—of you have enrolled in this course as a sort of “introduction” to the course of study offered at a law school, I will attempt to simulate the experience of </w:t>
      </w:r>
      <w:r w:rsidRPr="004D7925">
        <w:rPr>
          <w:rFonts w:ascii="Arial" w:hAnsi="Arial" w:cs="Arial"/>
          <w:i/>
          <w:sz w:val="21"/>
          <w:szCs w:val="21"/>
        </w:rPr>
        <w:t>thinking like a lawyer</w:t>
      </w:r>
      <w:r w:rsidRPr="004D7925">
        <w:rPr>
          <w:rFonts w:ascii="Arial" w:hAnsi="Arial" w:cs="Arial"/>
          <w:sz w:val="21"/>
          <w:szCs w:val="21"/>
        </w:rPr>
        <w:t xml:space="preserve"> as nearly as I can while nonetheless still accounting for the competing (and certainly no less pressing) demands of </w:t>
      </w:r>
      <w:r w:rsidRPr="004D7925">
        <w:rPr>
          <w:rFonts w:ascii="Arial" w:hAnsi="Arial" w:cs="Arial"/>
          <w:i/>
          <w:sz w:val="21"/>
          <w:szCs w:val="21"/>
        </w:rPr>
        <w:t xml:space="preserve">teaching you how to </w:t>
      </w:r>
      <w:r w:rsidR="00AE7072">
        <w:rPr>
          <w:rFonts w:ascii="Arial" w:hAnsi="Arial" w:cs="Arial"/>
          <w:i/>
          <w:sz w:val="21"/>
          <w:szCs w:val="21"/>
        </w:rPr>
        <w:t xml:space="preserve">come to terms with the </w:t>
      </w:r>
      <w:r w:rsidR="006158C9">
        <w:rPr>
          <w:rFonts w:ascii="Arial" w:hAnsi="Arial" w:cs="Arial"/>
          <w:i/>
          <w:sz w:val="21"/>
          <w:szCs w:val="21"/>
        </w:rPr>
        <w:t xml:space="preserve">very </w:t>
      </w:r>
      <w:r w:rsidR="00AE7072">
        <w:rPr>
          <w:rFonts w:ascii="Arial" w:hAnsi="Arial" w:cs="Arial"/>
          <w:i/>
          <w:sz w:val="21"/>
          <w:szCs w:val="21"/>
        </w:rPr>
        <w:t>“pastness” of</w:t>
      </w:r>
      <w:r w:rsidRPr="004D7925">
        <w:rPr>
          <w:rFonts w:ascii="Arial" w:hAnsi="Arial" w:cs="Arial"/>
          <w:i/>
          <w:sz w:val="21"/>
          <w:szCs w:val="21"/>
        </w:rPr>
        <w:t xml:space="preserve"> the past</w:t>
      </w:r>
      <w:r w:rsidRPr="004D7925">
        <w:rPr>
          <w:rFonts w:ascii="Arial" w:hAnsi="Arial" w:cs="Arial"/>
          <w:sz w:val="21"/>
          <w:szCs w:val="21"/>
        </w:rPr>
        <w:t xml:space="preserve">.  </w:t>
      </w:r>
    </w:p>
    <w:p w:rsidR="009D21C8" w:rsidRPr="009D756D" w:rsidRDefault="009D21C8" w:rsidP="009D21C8">
      <w:pPr>
        <w:rPr>
          <w:rFonts w:ascii="Arial" w:hAnsi="Arial" w:cs="Arial"/>
          <w:sz w:val="21"/>
          <w:szCs w:val="21"/>
        </w:rPr>
      </w:pPr>
    </w:p>
    <w:p w:rsidR="00547F8B" w:rsidRPr="00542F2E" w:rsidRDefault="00542F2E" w:rsidP="00547F8B">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w:t>
      </w:r>
      <w:r w:rsidR="00547F8B" w:rsidRPr="00542F2E">
        <w:rPr>
          <w:rFonts w:ascii="Arial" w:hAnsi="Arial" w:cs="Arial"/>
          <w:i/>
          <w:sz w:val="21"/>
          <w:szCs w:val="21"/>
        </w:rPr>
        <w:t xml:space="preserve"> are expected to keep track of</w:t>
      </w:r>
      <w:r w:rsidR="00694B08">
        <w:rPr>
          <w:rFonts w:ascii="Arial" w:hAnsi="Arial" w:cs="Arial"/>
          <w:i/>
          <w:sz w:val="21"/>
          <w:szCs w:val="21"/>
        </w:rPr>
        <w:t xml:space="preserve"> your</w:t>
      </w:r>
      <w:r w:rsidR="00547F8B" w:rsidRPr="00542F2E">
        <w:rPr>
          <w:rFonts w:ascii="Arial" w:hAnsi="Arial" w:cs="Arial"/>
          <w:i/>
          <w:sz w:val="21"/>
          <w:szCs w:val="21"/>
        </w:rPr>
        <w:t xml:space="preserve"> performance throughout the semester and seek guidance from available sources (in</w:t>
      </w:r>
      <w:r w:rsidRPr="00542F2E">
        <w:rPr>
          <w:rFonts w:ascii="Arial" w:hAnsi="Arial" w:cs="Arial"/>
          <w:i/>
          <w:sz w:val="21"/>
          <w:szCs w:val="21"/>
        </w:rPr>
        <w:t>cluding the instructor) if your</w:t>
      </w:r>
      <w:r w:rsidR="00547F8B" w:rsidRPr="00542F2E">
        <w:rPr>
          <w:rFonts w:ascii="Arial" w:hAnsi="Arial" w:cs="Arial"/>
          <w:i/>
          <w:sz w:val="21"/>
          <w:szCs w:val="21"/>
        </w:rPr>
        <w:t xml:space="preserve"> performance drops below satisfactory levels.</w:t>
      </w:r>
      <w:r>
        <w:rPr>
          <w:rFonts w:ascii="Arial" w:hAnsi="Arial" w:cs="Arial"/>
          <w:i/>
          <w:sz w:val="21"/>
          <w:szCs w:val="21"/>
        </w:rPr>
        <w:t xml:space="preserve"> </w:t>
      </w:r>
      <w:r w:rsidR="00547F8B" w:rsidRPr="00542F2E">
        <w:rPr>
          <w:rFonts w:ascii="Arial" w:hAnsi="Arial" w:cs="Arial"/>
          <w:bCs/>
          <w:i/>
          <w:sz w:val="21"/>
          <w:szCs w:val="21"/>
        </w:rPr>
        <w:t>A general rule of thumb is this: fo</w:t>
      </w:r>
      <w:r w:rsidRPr="00542F2E">
        <w:rPr>
          <w:rFonts w:ascii="Arial" w:hAnsi="Arial" w:cs="Arial"/>
          <w:bCs/>
          <w:i/>
          <w:sz w:val="21"/>
          <w:szCs w:val="21"/>
        </w:rPr>
        <w:t>r every credit hour earned, you</w:t>
      </w:r>
      <w:r w:rsidR="00547F8B" w:rsidRPr="00542F2E">
        <w:rPr>
          <w:rFonts w:ascii="Arial" w:hAnsi="Arial" w:cs="Arial"/>
          <w:bCs/>
          <w:i/>
          <w:sz w:val="21"/>
          <w:szCs w:val="21"/>
        </w:rPr>
        <w:t xml:space="preserve"> should spend 3 hours per week working outside of class. </w:t>
      </w:r>
      <w:r w:rsidR="00547F8B" w:rsidRPr="00542F2E">
        <w:rPr>
          <w:rFonts w:ascii="Arial" w:hAnsi="Arial" w:cs="Arial"/>
          <w:i/>
          <w:sz w:val="21"/>
          <w:szCs w:val="21"/>
        </w:rPr>
        <w:t xml:space="preserve">Beyond the time required to attend each class meeting, </w:t>
      </w:r>
      <w:r w:rsidRPr="00542F2E">
        <w:rPr>
          <w:rFonts w:ascii="Arial" w:hAnsi="Arial" w:cs="Arial"/>
          <w:i/>
          <w:sz w:val="21"/>
          <w:szCs w:val="21"/>
        </w:rPr>
        <w:t xml:space="preserve">you </w:t>
      </w:r>
      <w:r w:rsidR="00547F8B" w:rsidRPr="00542F2E">
        <w:rPr>
          <w:rFonts w:ascii="Arial" w:hAnsi="Arial" w:cs="Arial"/>
          <w:i/>
          <w:sz w:val="21"/>
          <w:szCs w:val="21"/>
        </w:rPr>
        <w:t>should expect to spend at least an additional</w:t>
      </w:r>
      <w:r w:rsidRPr="00542F2E">
        <w:rPr>
          <w:rFonts w:ascii="Arial" w:hAnsi="Arial" w:cs="Arial"/>
          <w:i/>
          <w:sz w:val="21"/>
          <w:szCs w:val="21"/>
        </w:rPr>
        <w:t xml:space="preserve"> </w:t>
      </w:r>
      <w:r w:rsidRPr="00542F2E">
        <w:rPr>
          <w:rFonts w:ascii="Arial" w:hAnsi="Arial" w:cs="Arial"/>
          <w:i/>
          <w:sz w:val="21"/>
          <w:szCs w:val="21"/>
          <w:u w:val="single"/>
        </w:rPr>
        <w:t>9</w:t>
      </w:r>
      <w:r w:rsidRPr="00542F2E">
        <w:rPr>
          <w:rFonts w:ascii="Arial" w:hAnsi="Arial" w:cs="Arial"/>
          <w:i/>
          <w:sz w:val="21"/>
          <w:szCs w:val="21"/>
        </w:rPr>
        <w:t xml:space="preserve"> hours per week of your</w:t>
      </w:r>
      <w:r w:rsidR="00547F8B" w:rsidRPr="00542F2E">
        <w:rPr>
          <w:rFonts w:ascii="Arial" w:hAnsi="Arial" w:cs="Arial"/>
          <w:i/>
          <w:sz w:val="21"/>
          <w:szCs w:val="21"/>
        </w:rPr>
        <w:t xml:space="preserve"> own time in course-related activities, including reading required materials, completing assignments, preparing for exams, etc. </w:t>
      </w:r>
    </w:p>
    <w:p w:rsidR="00547F8B" w:rsidRPr="0016052E" w:rsidRDefault="00547F8B" w:rsidP="00547F8B">
      <w:pPr>
        <w:rPr>
          <w:rFonts w:ascii="Arial" w:hAnsi="Arial" w:cs="Arial"/>
          <w:b/>
          <w:color w:val="0000FF"/>
          <w:sz w:val="21"/>
          <w:szCs w:val="21"/>
        </w:rPr>
      </w:pPr>
    </w:p>
    <w:p w:rsidR="00547F8B" w:rsidRPr="00542F2E" w:rsidRDefault="00547F8B" w:rsidP="00547F8B">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xml:space="preserve">: </w:t>
      </w:r>
      <w:r w:rsidR="00542F2E" w:rsidRPr="00542F2E">
        <w:rPr>
          <w:rFonts w:ascii="Arial" w:hAnsi="Arial" w:cs="Arial"/>
          <w:sz w:val="21"/>
          <w:szCs w:val="21"/>
        </w:rPr>
        <w:t>In the event of a documented medical emergency, I will schedule a make-up examination for you that wil</w:t>
      </w:r>
      <w:r w:rsidR="009D21C8">
        <w:rPr>
          <w:rFonts w:ascii="Arial" w:hAnsi="Arial" w:cs="Arial"/>
          <w:sz w:val="21"/>
          <w:szCs w:val="21"/>
        </w:rPr>
        <w:t>l take place during office hours</w:t>
      </w:r>
      <w:r w:rsidR="00542F2E" w:rsidRPr="00542F2E">
        <w:rPr>
          <w:rFonts w:ascii="Arial" w:hAnsi="Arial" w:cs="Arial"/>
          <w:sz w:val="21"/>
          <w:szCs w:val="21"/>
        </w:rPr>
        <w:t>.</w:t>
      </w:r>
    </w:p>
    <w:p w:rsidR="00547F8B" w:rsidRPr="0016052E" w:rsidRDefault="00547F8B" w:rsidP="00547F8B">
      <w:pPr>
        <w:rPr>
          <w:rFonts w:ascii="Arial" w:hAnsi="Arial" w:cs="Arial"/>
          <w:b/>
          <w:color w:val="0000FF"/>
          <w:sz w:val="21"/>
          <w:szCs w:val="21"/>
        </w:rPr>
      </w:pPr>
    </w:p>
    <w:p w:rsidR="008C01B5" w:rsidRDefault="00547F8B" w:rsidP="00547F8B">
      <w:pPr>
        <w:rPr>
          <w:rFonts w:ascii="Arial" w:hAnsi="Arial" w:cs="Arial"/>
          <w:sz w:val="21"/>
          <w:szCs w:val="21"/>
        </w:rPr>
      </w:pPr>
      <w:r w:rsidRPr="008C01B5">
        <w:rPr>
          <w:rFonts w:ascii="Arial" w:hAnsi="Arial" w:cs="Arial"/>
          <w:b/>
          <w:sz w:val="21"/>
          <w:szCs w:val="21"/>
        </w:rPr>
        <w:t>Grade Grievances</w:t>
      </w:r>
      <w:r w:rsidR="008C01B5" w:rsidRPr="008C01B5">
        <w:rPr>
          <w:rFonts w:ascii="Arial" w:hAnsi="Arial" w:cs="Arial"/>
          <w:sz w:val="21"/>
          <w:szCs w:val="21"/>
        </w:rPr>
        <w:t xml:space="preserve">:  </w:t>
      </w:r>
      <w:r w:rsidRPr="008C01B5">
        <w:rPr>
          <w:rFonts w:ascii="Arial" w:hAnsi="Arial" w:cs="Arial"/>
          <w:sz w:val="21"/>
          <w:szCs w:val="21"/>
        </w:rPr>
        <w:t xml:space="preserve">Any appeal of a grade in this course must follow the procedures and deadlines for grade-related grievances as published in the current </w:t>
      </w:r>
      <w:r w:rsidR="008C01B5">
        <w:rPr>
          <w:rFonts w:ascii="Arial" w:hAnsi="Arial" w:cs="Arial"/>
          <w:sz w:val="21"/>
          <w:szCs w:val="21"/>
        </w:rPr>
        <w:t xml:space="preserve">undergraduate </w:t>
      </w:r>
      <w:r w:rsidRPr="008C01B5">
        <w:rPr>
          <w:rFonts w:ascii="Arial" w:hAnsi="Arial" w:cs="Arial"/>
          <w:sz w:val="21"/>
          <w:szCs w:val="21"/>
        </w:rPr>
        <w:t xml:space="preserve">catalog. </w:t>
      </w:r>
      <w:r w:rsidR="008C01B5">
        <w:rPr>
          <w:rFonts w:ascii="Arial" w:hAnsi="Arial" w:cs="Arial"/>
          <w:sz w:val="21"/>
          <w:szCs w:val="21"/>
        </w:rPr>
        <w:t>For the full text of this policy, s</w:t>
      </w:r>
      <w:r w:rsidRPr="008C01B5">
        <w:rPr>
          <w:rFonts w:ascii="Arial" w:hAnsi="Arial" w:cs="Arial"/>
          <w:sz w:val="21"/>
          <w:szCs w:val="21"/>
        </w:rPr>
        <w:t xml:space="preserve">ee </w:t>
      </w:r>
      <w:hyperlink r:id="rId7" w:anchor="10" w:history="1">
        <w:r w:rsidRPr="008C01B5">
          <w:rPr>
            <w:rStyle w:val="Hyperlink"/>
            <w:rFonts w:ascii="Arial" w:hAnsi="Arial" w:cs="Arial"/>
            <w:color w:val="auto"/>
            <w:sz w:val="21"/>
            <w:szCs w:val="21"/>
          </w:rPr>
          <w:t>http://wweb.uta.edu/catalog/content/general/academic_regulations.aspx#10</w:t>
        </w:r>
      </w:hyperlink>
      <w:r w:rsidR="008C01B5">
        <w:rPr>
          <w:rFonts w:ascii="Arial" w:hAnsi="Arial" w:cs="Arial"/>
          <w:sz w:val="21"/>
          <w:szCs w:val="21"/>
        </w:rPr>
        <w:t xml:space="preserve">.  </w:t>
      </w:r>
    </w:p>
    <w:p w:rsidR="00547F8B" w:rsidRPr="008A6918" w:rsidRDefault="00547F8B" w:rsidP="00547F8B">
      <w:pPr>
        <w:rPr>
          <w:rFonts w:ascii="Arial" w:hAnsi="Arial" w:cs="Arial"/>
          <w:color w:val="0000FF"/>
          <w:sz w:val="21"/>
          <w:szCs w:val="21"/>
        </w:rPr>
      </w:pPr>
    </w:p>
    <w:p w:rsidR="00547F8B" w:rsidRDefault="008C01B5" w:rsidP="00547F8B">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00547F8B" w:rsidRPr="0016052E">
        <w:rPr>
          <w:rFonts w:ascii="Arial" w:hAnsi="Arial" w:cs="Arial"/>
          <w:b/>
          <w:sz w:val="21"/>
          <w:szCs w:val="21"/>
        </w:rPr>
        <w:t xml:space="preserve">Drop Policy: </w:t>
      </w:r>
      <w:r w:rsidR="00547F8B"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7F8B" w:rsidRPr="0016052E">
        <w:rPr>
          <w:rStyle w:val="Strong"/>
          <w:rFonts w:ascii="Arial" w:hAnsi="Arial" w:cs="Arial"/>
          <w:sz w:val="21"/>
          <w:szCs w:val="21"/>
        </w:rPr>
        <w:t>Students will not be automatically dropped for non-attendance</w:t>
      </w:r>
      <w:r w:rsidR="00547F8B" w:rsidRPr="0016052E">
        <w:rPr>
          <w:rFonts w:ascii="Arial" w:hAnsi="Arial" w:cs="Arial"/>
          <w:sz w:val="21"/>
          <w:szCs w:val="21"/>
        </w:rPr>
        <w:t xml:space="preserve">. Repayment of certain types of financial aid administered through the University may be required as the result of dropping classes or withdrawing. </w:t>
      </w:r>
      <w:r w:rsidR="00547F8B">
        <w:rPr>
          <w:rFonts w:ascii="Arial" w:hAnsi="Arial" w:cs="Arial"/>
          <w:sz w:val="21"/>
          <w:szCs w:val="21"/>
        </w:rPr>
        <w:t>For more information, c</w:t>
      </w:r>
      <w:r w:rsidR="00547F8B" w:rsidRPr="0016052E">
        <w:rPr>
          <w:rFonts w:ascii="Arial" w:hAnsi="Arial" w:cs="Arial"/>
          <w:sz w:val="21"/>
          <w:szCs w:val="21"/>
        </w:rPr>
        <w:t xml:space="preserve">ontact the </w:t>
      </w:r>
      <w:r w:rsidR="00547F8B">
        <w:rPr>
          <w:rFonts w:ascii="Arial" w:hAnsi="Arial" w:cs="Arial"/>
          <w:sz w:val="21"/>
          <w:szCs w:val="21"/>
        </w:rPr>
        <w:t xml:space="preserve">Office of </w:t>
      </w:r>
      <w:r w:rsidR="00547F8B" w:rsidRPr="0016052E">
        <w:rPr>
          <w:rFonts w:ascii="Arial" w:hAnsi="Arial" w:cs="Arial"/>
          <w:sz w:val="21"/>
          <w:szCs w:val="21"/>
        </w:rPr>
        <w:t xml:space="preserve">Financial Aid </w:t>
      </w:r>
      <w:r w:rsidR="00547F8B">
        <w:rPr>
          <w:rFonts w:ascii="Arial" w:hAnsi="Arial" w:cs="Arial"/>
          <w:sz w:val="21"/>
          <w:szCs w:val="21"/>
        </w:rPr>
        <w:t>and Scholarships (</w:t>
      </w:r>
      <w:hyperlink r:id="rId8" w:history="1">
        <w:r w:rsidR="00547F8B" w:rsidRPr="0082256E">
          <w:rPr>
            <w:rStyle w:val="Hyperlink"/>
            <w:rFonts w:ascii="Arial" w:hAnsi="Arial" w:cs="Arial"/>
            <w:sz w:val="21"/>
            <w:szCs w:val="21"/>
          </w:rPr>
          <w:t>http://wweb.uta.edu/ses/fao</w:t>
        </w:r>
      </w:hyperlink>
      <w:r w:rsidR="00547F8B">
        <w:rPr>
          <w:rFonts w:ascii="Arial" w:hAnsi="Arial" w:cs="Arial"/>
          <w:sz w:val="21"/>
          <w:szCs w:val="21"/>
        </w:rPr>
        <w:t>).</w:t>
      </w:r>
    </w:p>
    <w:p w:rsidR="00547F8B" w:rsidRPr="0016052E" w:rsidRDefault="00547F8B" w:rsidP="00547F8B">
      <w:pPr>
        <w:pStyle w:val="NormalWeb"/>
        <w:spacing w:before="0" w:beforeAutospacing="0" w:after="0" w:afterAutospacing="0"/>
        <w:rPr>
          <w:rFonts w:ascii="Arial" w:hAnsi="Arial" w:cs="Arial"/>
          <w:sz w:val="21"/>
          <w:szCs w:val="21"/>
        </w:rPr>
      </w:pPr>
    </w:p>
    <w:p w:rsidR="00547F8B" w:rsidRPr="0016052E" w:rsidRDefault="00547F8B" w:rsidP="00547F8B">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547F8B" w:rsidRPr="0016052E" w:rsidRDefault="00547F8B" w:rsidP="00547F8B">
      <w:pPr>
        <w:rPr>
          <w:rFonts w:ascii="Arial" w:hAnsi="Arial" w:cs="Arial"/>
          <w:sz w:val="21"/>
          <w:szCs w:val="21"/>
        </w:rPr>
      </w:pPr>
    </w:p>
    <w:p w:rsidR="00547F8B" w:rsidRPr="00384AFA" w:rsidRDefault="00547F8B" w:rsidP="00547F8B">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547F8B" w:rsidRPr="00384AFA" w:rsidRDefault="00547F8B" w:rsidP="00547F8B">
      <w:pPr>
        <w:keepNext/>
        <w:rPr>
          <w:rFonts w:ascii="Arial" w:hAnsi="Arial" w:cs="Arial"/>
          <w:sz w:val="21"/>
          <w:szCs w:val="21"/>
        </w:rPr>
      </w:pP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E34D0" w:rsidRDefault="001E34D0" w:rsidP="00547F8B">
      <w:pPr>
        <w:keepNext/>
        <w:rPr>
          <w:rFonts w:ascii="Arial" w:hAnsi="Arial" w:cs="Arial"/>
          <w:sz w:val="21"/>
          <w:szCs w:val="21"/>
        </w:rPr>
      </w:pPr>
    </w:p>
    <w:p w:rsidR="00547F8B" w:rsidRPr="0016052E" w:rsidRDefault="00547F8B" w:rsidP="00547F8B">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1"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547F8B" w:rsidRPr="0016052E" w:rsidRDefault="00547F8B" w:rsidP="00547F8B">
      <w:pPr>
        <w:rPr>
          <w:rFonts w:ascii="Arial" w:hAnsi="Arial" w:cs="Arial"/>
          <w:b/>
          <w:sz w:val="21"/>
          <w:szCs w:val="21"/>
        </w:rPr>
      </w:pPr>
    </w:p>
    <w:p w:rsidR="00547F8B" w:rsidRDefault="00547F8B" w:rsidP="00547F8B">
      <w:pPr>
        <w:rPr>
          <w:rFonts w:ascii="Arial" w:hAnsi="Arial" w:cs="Arial"/>
          <w:b/>
          <w:sz w:val="21"/>
          <w:szCs w:val="21"/>
        </w:rPr>
      </w:pPr>
    </w:p>
    <w:p w:rsidR="00547F8B" w:rsidRPr="001E1E1B" w:rsidRDefault="00547F8B" w:rsidP="00547F8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547F8B" w:rsidRPr="001E1E1B" w:rsidRDefault="00547F8B" w:rsidP="00547F8B">
      <w:pPr>
        <w:rPr>
          <w:rFonts w:ascii="Arial" w:hAnsi="Arial" w:cs="Arial"/>
          <w:sz w:val="21"/>
          <w:szCs w:val="21"/>
        </w:rPr>
      </w:pPr>
    </w:p>
    <w:p w:rsidR="00547F8B" w:rsidRPr="001E1E1B" w:rsidRDefault="00547F8B" w:rsidP="00547F8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547F8B" w:rsidRPr="009D0858" w:rsidRDefault="00547F8B" w:rsidP="00547F8B">
      <w:pPr>
        <w:rPr>
          <w:rFonts w:ascii="Arial" w:hAnsi="Arial" w:cs="Arial"/>
          <w:b/>
          <w:bCs/>
          <w:sz w:val="21"/>
          <w:szCs w:val="21"/>
        </w:rPr>
      </w:pPr>
    </w:p>
    <w:p w:rsidR="00547F8B" w:rsidRPr="009D0858" w:rsidRDefault="00547F8B"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rsidR="00547F8B" w:rsidRPr="009D0858" w:rsidRDefault="00547F8B" w:rsidP="00547F8B">
      <w:pPr>
        <w:rPr>
          <w:rFonts w:ascii="Arial" w:hAnsi="Arial" w:cs="Arial"/>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511318" w:rsidRDefault="00511318" w:rsidP="00511318">
      <w:pPr>
        <w:rPr>
          <w:rFonts w:ascii="Arial" w:hAnsi="Arial" w:cs="Arial"/>
          <w:b/>
          <w:sz w:val="21"/>
          <w:szCs w:val="21"/>
        </w:rPr>
      </w:pPr>
    </w:p>
    <w:p w:rsidR="00E02DBB" w:rsidRPr="00E82B38" w:rsidRDefault="00E02DBB" w:rsidP="00E02DBB">
      <w:pPr>
        <w:rPr>
          <w:rFonts w:ascii="Times" w:hAnsi="Times" w:cs="Arial"/>
          <w:b/>
          <w:i/>
          <w:sz w:val="24"/>
          <w:szCs w:val="24"/>
        </w:rPr>
      </w:pPr>
      <w:r w:rsidRPr="00E82B38">
        <w:rPr>
          <w:rFonts w:ascii="Times" w:hAnsi="Times" w:cs="Arial"/>
          <w:b/>
          <w:i/>
          <w:sz w:val="24"/>
          <w:szCs w:val="24"/>
        </w:rPr>
        <w:t>As the instructor for this course, I reserve the right to adjust this schedule in any way that serves the educational needs of the students enrolled in this course.</w:t>
      </w:r>
    </w:p>
    <w:p w:rsidR="00E02DBB" w:rsidRDefault="00E02DBB" w:rsidP="00547F8B"/>
    <w:p w:rsidR="00E02DBB" w:rsidRDefault="00E02DBB" w:rsidP="00E02DBB">
      <w:pPr>
        <w:rPr>
          <w:rFonts w:ascii="Times" w:hAnsi="Times" w:cs="Arial"/>
          <w:sz w:val="24"/>
          <w:szCs w:val="24"/>
        </w:rPr>
      </w:pPr>
      <w:r>
        <w:rPr>
          <w:rFonts w:ascii="Times" w:hAnsi="Times" w:cs="Arial"/>
          <w:sz w:val="24"/>
          <w:szCs w:val="24"/>
        </w:rPr>
        <w:t xml:space="preserve">January </w:t>
      </w:r>
      <w:r w:rsidR="001A1732">
        <w:rPr>
          <w:rFonts w:ascii="Times" w:hAnsi="Times" w:cs="Arial"/>
          <w:sz w:val="24"/>
          <w:szCs w:val="24"/>
        </w:rPr>
        <w:t>20, 2015</w:t>
      </w:r>
    </w:p>
    <w:p w:rsidR="00E02DBB" w:rsidRDefault="00E02DBB" w:rsidP="00E02DBB">
      <w:pPr>
        <w:rPr>
          <w:rFonts w:ascii="Times" w:hAnsi="Times" w:cs="Arial"/>
          <w:sz w:val="24"/>
          <w:szCs w:val="24"/>
        </w:rPr>
      </w:pPr>
      <w:r>
        <w:rPr>
          <w:rFonts w:ascii="Times" w:hAnsi="Times" w:cs="Arial"/>
          <w:sz w:val="24"/>
          <w:szCs w:val="24"/>
        </w:rPr>
        <w:t>Lecture:  Course policies / Introduction</w:t>
      </w:r>
    </w:p>
    <w:p w:rsidR="00E02DBB" w:rsidRDefault="00E02DBB" w:rsidP="00E02DBB">
      <w:pPr>
        <w:rPr>
          <w:rFonts w:ascii="Times" w:hAnsi="Times" w:cs="Arial"/>
          <w:sz w:val="24"/>
          <w:szCs w:val="24"/>
        </w:rPr>
      </w:pPr>
      <w:r>
        <w:rPr>
          <w:rFonts w:ascii="Times" w:hAnsi="Times" w:cs="Arial"/>
          <w:sz w:val="24"/>
          <w:szCs w:val="24"/>
        </w:rPr>
        <w:t>Reading: None</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January </w:t>
      </w:r>
      <w:r w:rsidR="001A1732">
        <w:rPr>
          <w:rFonts w:ascii="Times" w:hAnsi="Times" w:cs="Arial"/>
          <w:sz w:val="24"/>
          <w:szCs w:val="24"/>
        </w:rPr>
        <w:t>22, 2015</w:t>
      </w:r>
    </w:p>
    <w:p w:rsidR="00E02DBB" w:rsidRDefault="00E02DBB" w:rsidP="00E02DBB">
      <w:pPr>
        <w:rPr>
          <w:rFonts w:ascii="Times" w:hAnsi="Times" w:cs="Arial"/>
          <w:sz w:val="24"/>
          <w:szCs w:val="24"/>
        </w:rPr>
      </w:pPr>
      <w:r>
        <w:rPr>
          <w:rFonts w:ascii="Times" w:hAnsi="Times" w:cs="Arial"/>
          <w:sz w:val="24"/>
          <w:szCs w:val="24"/>
        </w:rPr>
        <w:t xml:space="preserve">Lecture: </w:t>
      </w:r>
      <w:r w:rsidR="00EF7BE1">
        <w:rPr>
          <w:rFonts w:ascii="Times" w:hAnsi="Times" w:cs="Arial"/>
          <w:sz w:val="24"/>
          <w:szCs w:val="24"/>
        </w:rPr>
        <w:t>Discipline and Punish</w:t>
      </w:r>
    </w:p>
    <w:p w:rsidR="00EF7BE1" w:rsidRDefault="00E02DBB" w:rsidP="00E02DBB">
      <w:pPr>
        <w:rPr>
          <w:rFonts w:ascii="Times" w:hAnsi="Times" w:cs="Arial"/>
          <w:sz w:val="24"/>
          <w:szCs w:val="24"/>
        </w:rPr>
      </w:pPr>
      <w:r>
        <w:rPr>
          <w:rFonts w:ascii="Times" w:hAnsi="Times" w:cs="Arial"/>
          <w:sz w:val="24"/>
          <w:szCs w:val="24"/>
        </w:rPr>
        <w:t xml:space="preserve">Reading: </w:t>
      </w:r>
      <w:r w:rsidR="00EF7BE1">
        <w:rPr>
          <w:rFonts w:ascii="Times" w:hAnsi="Times" w:cs="Arial"/>
          <w:sz w:val="24"/>
          <w:szCs w:val="24"/>
        </w:rPr>
        <w:t xml:space="preserve">Michel Foucault, excerpts from </w:t>
      </w:r>
      <w:r w:rsidR="00EF7BE1">
        <w:rPr>
          <w:rFonts w:ascii="Times" w:hAnsi="Times" w:cs="Arial"/>
          <w:i/>
          <w:sz w:val="24"/>
          <w:szCs w:val="24"/>
        </w:rPr>
        <w:t xml:space="preserve">Discipline and Punish </w:t>
      </w:r>
      <w:r w:rsidR="00EF7BE1">
        <w:rPr>
          <w:rFonts w:ascii="Times" w:hAnsi="Times" w:cs="Arial"/>
          <w:sz w:val="24"/>
          <w:szCs w:val="24"/>
        </w:rPr>
        <w:t xml:space="preserve">available at </w:t>
      </w:r>
      <w:hyperlink r:id="rId14" w:history="1">
        <w:r w:rsidR="00EF7BE1" w:rsidRPr="00C66AAF">
          <w:rPr>
            <w:rStyle w:val="Hyperlink"/>
            <w:rFonts w:ascii="Times" w:hAnsi="Times" w:cs="Arial"/>
            <w:sz w:val="24"/>
            <w:szCs w:val="24"/>
          </w:rPr>
          <w:t>http://itpedia.nyu.edu/mediawiki/images/3/3e/Foucault-Discipline_and_Punish.pdf</w:t>
        </w:r>
      </w:hyperlink>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January 27, 2015</w:t>
      </w:r>
    </w:p>
    <w:p w:rsidR="00E02DBB" w:rsidRDefault="00E02DBB" w:rsidP="00E02DBB">
      <w:pPr>
        <w:rPr>
          <w:rFonts w:ascii="Times" w:hAnsi="Times" w:cs="Arial"/>
          <w:sz w:val="24"/>
          <w:szCs w:val="24"/>
        </w:rPr>
      </w:pPr>
      <w:r>
        <w:rPr>
          <w:rFonts w:ascii="Times" w:hAnsi="Times" w:cs="Arial"/>
          <w:sz w:val="24"/>
          <w:szCs w:val="24"/>
        </w:rPr>
        <w:t xml:space="preserve">Lecture: </w:t>
      </w:r>
      <w:r w:rsidR="00AA6D08">
        <w:rPr>
          <w:rFonts w:ascii="Times" w:hAnsi="Times" w:cs="Arial"/>
          <w:sz w:val="24"/>
          <w:szCs w:val="24"/>
        </w:rPr>
        <w:t>Sources of Early American Law</w:t>
      </w:r>
    </w:p>
    <w:p w:rsidR="00D67F96" w:rsidRDefault="00E02DBB" w:rsidP="00E02DBB">
      <w:pPr>
        <w:rPr>
          <w:rFonts w:ascii="Times" w:hAnsi="Times" w:cs="Arial"/>
          <w:sz w:val="24"/>
          <w:szCs w:val="24"/>
        </w:rPr>
      </w:pPr>
      <w:r>
        <w:rPr>
          <w:rFonts w:ascii="Times" w:hAnsi="Times" w:cs="Arial"/>
          <w:sz w:val="24"/>
          <w:szCs w:val="24"/>
        </w:rPr>
        <w:t>Reading:</w:t>
      </w:r>
      <w:r w:rsidR="00AA6D08">
        <w:rPr>
          <w:rFonts w:ascii="Times" w:hAnsi="Times" w:cs="Arial"/>
          <w:sz w:val="24"/>
          <w:szCs w:val="24"/>
        </w:rPr>
        <w:t xml:space="preserve"> Finkelman, pp. 6-29</w:t>
      </w:r>
    </w:p>
    <w:p w:rsidR="00D67F96" w:rsidRDefault="00523A04" w:rsidP="00E02DBB">
      <w:pPr>
        <w:rPr>
          <w:rFonts w:ascii="Times" w:hAnsi="Times" w:cs="Arial"/>
          <w:sz w:val="24"/>
          <w:szCs w:val="24"/>
        </w:rPr>
      </w:pPr>
      <w:r>
        <w:rPr>
          <w:rFonts w:ascii="Times" w:hAnsi="Times" w:cs="Arial"/>
          <w:sz w:val="24"/>
          <w:szCs w:val="24"/>
        </w:rPr>
        <w:t>James I Stuart, “A Counterblaste to Tobacco</w:t>
      </w:r>
      <w:r w:rsidR="00D67F96">
        <w:rPr>
          <w:rFonts w:ascii="Times" w:hAnsi="Times" w:cs="Arial"/>
          <w:sz w:val="24"/>
          <w:szCs w:val="24"/>
        </w:rPr>
        <w:t xml:space="preserve">” available at </w:t>
      </w:r>
      <w:hyperlink r:id="rId15" w:history="1">
        <w:r w:rsidR="00D67F96" w:rsidRPr="00C66AAF">
          <w:rPr>
            <w:rStyle w:val="Hyperlink"/>
            <w:rFonts w:ascii="Times" w:hAnsi="Times" w:cs="Arial"/>
            <w:sz w:val="24"/>
            <w:szCs w:val="24"/>
          </w:rPr>
          <w:t>http://www.laits.utexas.edu/poltheory/james/blaste/blaste.html</w:t>
        </w:r>
      </w:hyperlink>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January 29, 2015</w:t>
      </w:r>
    </w:p>
    <w:p w:rsidR="00E02DBB" w:rsidRDefault="00E02DBB" w:rsidP="00E02DBB">
      <w:pPr>
        <w:rPr>
          <w:rFonts w:ascii="Times" w:hAnsi="Times" w:cs="Arial"/>
          <w:sz w:val="24"/>
          <w:szCs w:val="24"/>
        </w:rPr>
      </w:pPr>
      <w:r>
        <w:rPr>
          <w:rFonts w:ascii="Times" w:hAnsi="Times" w:cs="Arial"/>
          <w:sz w:val="24"/>
          <w:szCs w:val="24"/>
        </w:rPr>
        <w:t xml:space="preserve">Lecture: </w:t>
      </w:r>
      <w:r w:rsidR="00AA6D08">
        <w:rPr>
          <w:rFonts w:ascii="Times" w:hAnsi="Times" w:cs="Arial"/>
          <w:sz w:val="24"/>
          <w:szCs w:val="24"/>
        </w:rPr>
        <w:t>Reform and Revolution</w:t>
      </w:r>
      <w:r w:rsidR="001A1732">
        <w:rPr>
          <w:rFonts w:ascii="Times" w:hAnsi="Times" w:cs="Arial"/>
          <w:sz w:val="24"/>
          <w:szCs w:val="24"/>
        </w:rPr>
        <w:t xml:space="preserve"> in Early America</w:t>
      </w:r>
    </w:p>
    <w:p w:rsidR="00E02DBB" w:rsidRDefault="00E02DBB" w:rsidP="00E02DBB">
      <w:pPr>
        <w:rPr>
          <w:rFonts w:ascii="Times" w:hAnsi="Times" w:cs="Arial"/>
          <w:sz w:val="24"/>
          <w:szCs w:val="24"/>
        </w:rPr>
      </w:pPr>
      <w:r>
        <w:rPr>
          <w:rFonts w:ascii="Times" w:hAnsi="Times" w:cs="Arial"/>
          <w:sz w:val="24"/>
          <w:szCs w:val="24"/>
        </w:rPr>
        <w:t xml:space="preserve">Reading: </w:t>
      </w:r>
      <w:r w:rsidR="00AA6D08">
        <w:rPr>
          <w:rFonts w:ascii="Times" w:hAnsi="Times" w:cs="Arial"/>
          <w:sz w:val="24"/>
          <w:szCs w:val="24"/>
        </w:rPr>
        <w:t>Finkelman, pp. 30-42</w:t>
      </w:r>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February 3, 2015</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Law and Colonial Society</w:t>
      </w:r>
      <w:r>
        <w:rPr>
          <w:rFonts w:ascii="Times" w:hAnsi="Times" w:cs="Arial"/>
          <w:sz w:val="24"/>
          <w:szCs w:val="24"/>
        </w:rPr>
        <w:t xml:space="preserve"> </w:t>
      </w:r>
    </w:p>
    <w:p w:rsidR="00E02DBB" w:rsidRDefault="00710264" w:rsidP="00E02DBB">
      <w:pPr>
        <w:rPr>
          <w:rFonts w:ascii="Times" w:hAnsi="Times" w:cs="Arial"/>
          <w:sz w:val="24"/>
          <w:szCs w:val="24"/>
        </w:rPr>
      </w:pPr>
      <w:r>
        <w:rPr>
          <w:rFonts w:ascii="Times" w:hAnsi="Times" w:cs="Arial"/>
          <w:sz w:val="24"/>
          <w:szCs w:val="24"/>
        </w:rPr>
        <w:t>Reading: Finkelman, pp. 43-53, 63-75</w:t>
      </w:r>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February 5, 2015</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Slave Codes and the Law of Slavery</w:t>
      </w:r>
    </w:p>
    <w:p w:rsidR="00E02DBB" w:rsidRDefault="00E02DBB" w:rsidP="00710264">
      <w:pPr>
        <w:rPr>
          <w:rFonts w:ascii="Times" w:hAnsi="Times" w:cs="Arial"/>
          <w:sz w:val="24"/>
          <w:szCs w:val="24"/>
        </w:rPr>
      </w:pPr>
      <w:r>
        <w:rPr>
          <w:rFonts w:ascii="Times" w:hAnsi="Times" w:cs="Arial"/>
          <w:sz w:val="24"/>
          <w:szCs w:val="24"/>
        </w:rPr>
        <w:t xml:space="preserve">Readings: </w:t>
      </w:r>
      <w:r w:rsidR="00710264">
        <w:rPr>
          <w:rFonts w:ascii="Times" w:hAnsi="Times" w:cs="Arial"/>
          <w:sz w:val="24"/>
          <w:szCs w:val="24"/>
        </w:rPr>
        <w:t>Finkelman, pp. 53-63</w:t>
      </w:r>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February 10, 2015</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The Zenger Trial</w:t>
      </w:r>
    </w:p>
    <w:p w:rsidR="00E02DBB" w:rsidRDefault="00E02DBB" w:rsidP="00E02DBB">
      <w:pPr>
        <w:rPr>
          <w:rFonts w:ascii="Times" w:hAnsi="Times" w:cs="Arial"/>
          <w:sz w:val="24"/>
          <w:szCs w:val="24"/>
        </w:rPr>
      </w:pPr>
      <w:r>
        <w:rPr>
          <w:rFonts w:ascii="Times" w:hAnsi="Times" w:cs="Arial"/>
          <w:sz w:val="24"/>
          <w:szCs w:val="24"/>
        </w:rPr>
        <w:t xml:space="preserve">Reading: </w:t>
      </w:r>
      <w:r w:rsidR="00710264">
        <w:rPr>
          <w:rFonts w:ascii="Times" w:hAnsi="Times" w:cs="Arial"/>
          <w:sz w:val="24"/>
          <w:szCs w:val="24"/>
        </w:rPr>
        <w:t>Finkelman, pp. 77-81</w:t>
      </w:r>
    </w:p>
    <w:p w:rsidR="00E02DBB" w:rsidRDefault="00E02DBB" w:rsidP="00E02DBB">
      <w:pPr>
        <w:rPr>
          <w:rFonts w:ascii="Times" w:hAnsi="Times" w:cs="Arial"/>
          <w:sz w:val="24"/>
          <w:szCs w:val="24"/>
        </w:rPr>
      </w:pPr>
    </w:p>
    <w:p w:rsidR="00710264" w:rsidRDefault="001A1732" w:rsidP="00710264">
      <w:pPr>
        <w:rPr>
          <w:rFonts w:ascii="Times" w:hAnsi="Times" w:cs="Arial"/>
          <w:sz w:val="24"/>
          <w:szCs w:val="24"/>
        </w:rPr>
      </w:pPr>
      <w:r>
        <w:rPr>
          <w:rFonts w:ascii="Times" w:hAnsi="Times" w:cs="Arial"/>
          <w:sz w:val="24"/>
          <w:szCs w:val="24"/>
        </w:rPr>
        <w:t>February 12, 2015</w:t>
      </w:r>
    </w:p>
    <w:p w:rsidR="00710264" w:rsidRDefault="00710264" w:rsidP="00710264">
      <w:pPr>
        <w:rPr>
          <w:rFonts w:ascii="Times" w:hAnsi="Times" w:cs="Arial"/>
          <w:sz w:val="24"/>
          <w:szCs w:val="24"/>
        </w:rPr>
      </w:pPr>
      <w:r>
        <w:rPr>
          <w:rFonts w:ascii="Times" w:hAnsi="Times" w:cs="Arial"/>
          <w:sz w:val="24"/>
          <w:szCs w:val="24"/>
        </w:rPr>
        <w:t>Lecture:  The Legal Origins of the American Revolution</w:t>
      </w:r>
    </w:p>
    <w:p w:rsidR="00E02DBB" w:rsidRDefault="00710264" w:rsidP="00710264">
      <w:pPr>
        <w:rPr>
          <w:rFonts w:ascii="Times" w:hAnsi="Times" w:cs="Arial"/>
          <w:b/>
          <w:sz w:val="24"/>
          <w:szCs w:val="24"/>
        </w:rPr>
      </w:pPr>
      <w:r>
        <w:rPr>
          <w:rFonts w:ascii="Times" w:hAnsi="Times" w:cs="Arial"/>
          <w:sz w:val="24"/>
          <w:szCs w:val="24"/>
        </w:rPr>
        <w:t>Reading: Finkelman, pp. 83-94</w:t>
      </w:r>
    </w:p>
    <w:p w:rsidR="00E02DBB" w:rsidRDefault="00E02DBB" w:rsidP="00E02DBB">
      <w:pPr>
        <w:rPr>
          <w:rFonts w:ascii="Times" w:hAnsi="Times" w:cs="Arial"/>
          <w:b/>
          <w:sz w:val="24"/>
          <w:szCs w:val="24"/>
        </w:rPr>
      </w:pPr>
    </w:p>
    <w:p w:rsidR="00E02DBB" w:rsidRDefault="001A1732" w:rsidP="00E02DBB">
      <w:pPr>
        <w:rPr>
          <w:rFonts w:ascii="Times" w:hAnsi="Times" w:cs="Arial"/>
          <w:sz w:val="24"/>
          <w:szCs w:val="24"/>
        </w:rPr>
      </w:pPr>
      <w:r>
        <w:rPr>
          <w:rFonts w:ascii="Times" w:hAnsi="Times" w:cs="Arial"/>
          <w:sz w:val="24"/>
          <w:szCs w:val="24"/>
        </w:rPr>
        <w:t>February 17, 2015</w:t>
      </w:r>
    </w:p>
    <w:p w:rsidR="00E02DBB" w:rsidRDefault="00E02DBB" w:rsidP="00E02DBB">
      <w:pPr>
        <w:rPr>
          <w:rFonts w:ascii="Times" w:hAnsi="Times" w:cs="Arial"/>
          <w:sz w:val="24"/>
          <w:szCs w:val="24"/>
        </w:rPr>
      </w:pPr>
      <w:r>
        <w:rPr>
          <w:rFonts w:ascii="Times" w:hAnsi="Times" w:cs="Arial"/>
          <w:sz w:val="24"/>
          <w:szCs w:val="24"/>
        </w:rPr>
        <w:t xml:space="preserve">Lecture: </w:t>
      </w:r>
      <w:r w:rsidR="00710264">
        <w:rPr>
          <w:rFonts w:ascii="Times" w:hAnsi="Times" w:cs="Arial"/>
          <w:sz w:val="24"/>
          <w:szCs w:val="24"/>
        </w:rPr>
        <w:t>Foundin</w:t>
      </w:r>
      <w:r w:rsidR="00D67F96">
        <w:rPr>
          <w:rFonts w:ascii="Times" w:hAnsi="Times" w:cs="Arial"/>
          <w:sz w:val="24"/>
          <w:szCs w:val="24"/>
        </w:rPr>
        <w:t>g Fathers</w:t>
      </w:r>
    </w:p>
    <w:p w:rsidR="00E02DBB" w:rsidRDefault="00E02DBB" w:rsidP="00E02DBB">
      <w:pPr>
        <w:rPr>
          <w:rFonts w:ascii="Times" w:hAnsi="Times" w:cs="Arial"/>
          <w:sz w:val="24"/>
          <w:szCs w:val="24"/>
        </w:rPr>
      </w:pPr>
      <w:r>
        <w:rPr>
          <w:rFonts w:ascii="Times" w:hAnsi="Times" w:cs="Arial"/>
          <w:sz w:val="24"/>
          <w:szCs w:val="24"/>
        </w:rPr>
        <w:t xml:space="preserve">Reading: </w:t>
      </w:r>
      <w:r w:rsidR="00D67F96">
        <w:rPr>
          <w:rFonts w:ascii="Times" w:hAnsi="Times" w:cs="Arial"/>
          <w:sz w:val="24"/>
          <w:szCs w:val="24"/>
        </w:rPr>
        <w:t>Finkelman, pp. 110-137</w:t>
      </w:r>
    </w:p>
    <w:p w:rsidR="00E02DBB" w:rsidRDefault="00E02DBB" w:rsidP="00E02DBB">
      <w:pPr>
        <w:rPr>
          <w:rFonts w:ascii="Times" w:hAnsi="Times" w:cs="Arial"/>
          <w:sz w:val="24"/>
          <w:szCs w:val="24"/>
        </w:rPr>
      </w:pPr>
    </w:p>
    <w:p w:rsidR="00E02DBB" w:rsidRDefault="001A1732" w:rsidP="00E02DBB">
      <w:pPr>
        <w:rPr>
          <w:rFonts w:ascii="Times" w:hAnsi="Times" w:cs="Arial"/>
          <w:sz w:val="24"/>
          <w:szCs w:val="24"/>
        </w:rPr>
      </w:pPr>
      <w:r>
        <w:rPr>
          <w:rFonts w:ascii="Times" w:hAnsi="Times" w:cs="Arial"/>
          <w:sz w:val="24"/>
          <w:szCs w:val="24"/>
        </w:rPr>
        <w:t xml:space="preserve">February 19, </w:t>
      </w:r>
      <w:r w:rsidR="00F633A0">
        <w:rPr>
          <w:rFonts w:ascii="Times" w:hAnsi="Times" w:cs="Arial"/>
          <w:sz w:val="24"/>
          <w:szCs w:val="24"/>
        </w:rPr>
        <w:t>2015</w:t>
      </w:r>
    </w:p>
    <w:p w:rsidR="00E02DBB" w:rsidRDefault="00E02DBB" w:rsidP="00E02DBB">
      <w:pPr>
        <w:rPr>
          <w:rFonts w:ascii="Times" w:hAnsi="Times" w:cs="Arial"/>
          <w:sz w:val="24"/>
          <w:szCs w:val="24"/>
        </w:rPr>
      </w:pPr>
      <w:r>
        <w:rPr>
          <w:rFonts w:ascii="Times" w:hAnsi="Times" w:cs="Arial"/>
          <w:sz w:val="24"/>
          <w:szCs w:val="24"/>
        </w:rPr>
        <w:t xml:space="preserve">Lecture: Race and </w:t>
      </w:r>
      <w:r w:rsidR="00D67F96">
        <w:rPr>
          <w:rFonts w:ascii="Times" w:hAnsi="Times" w:cs="Arial"/>
          <w:sz w:val="24"/>
          <w:szCs w:val="24"/>
        </w:rPr>
        <w:t>the Constitution</w:t>
      </w:r>
    </w:p>
    <w:p w:rsidR="00D67F96" w:rsidRDefault="00E02DBB" w:rsidP="00D67F96">
      <w:pPr>
        <w:rPr>
          <w:rFonts w:ascii="Times" w:hAnsi="Times" w:cs="Arial"/>
          <w:sz w:val="24"/>
          <w:szCs w:val="24"/>
        </w:rPr>
      </w:pPr>
      <w:r>
        <w:rPr>
          <w:rFonts w:ascii="Times" w:hAnsi="Times" w:cs="Arial"/>
          <w:sz w:val="24"/>
          <w:szCs w:val="24"/>
        </w:rPr>
        <w:t>Readings</w:t>
      </w:r>
      <w:r w:rsidR="00D67F96">
        <w:rPr>
          <w:rFonts w:ascii="Times" w:hAnsi="Times" w:cs="Arial"/>
          <w:sz w:val="24"/>
          <w:szCs w:val="24"/>
        </w:rPr>
        <w:t>:  Finkelman, pp. 98-103</w:t>
      </w:r>
    </w:p>
    <w:p w:rsidR="00D67F96" w:rsidRDefault="00D67F96" w:rsidP="00D67F96">
      <w:pPr>
        <w:rPr>
          <w:rFonts w:ascii="Times" w:hAnsi="Times" w:cs="Arial"/>
          <w:sz w:val="24"/>
          <w:szCs w:val="24"/>
        </w:rPr>
      </w:pPr>
      <w:r>
        <w:rPr>
          <w:rFonts w:ascii="Times" w:hAnsi="Times" w:cs="Arial"/>
          <w:sz w:val="24"/>
          <w:szCs w:val="24"/>
        </w:rPr>
        <w:t xml:space="preserve">Case brief #1 (optional due date):  </w:t>
      </w:r>
      <w:r>
        <w:rPr>
          <w:rFonts w:ascii="Times" w:hAnsi="Times" w:cs="Arial"/>
          <w:i/>
          <w:sz w:val="24"/>
          <w:szCs w:val="24"/>
        </w:rPr>
        <w:t xml:space="preserve">Commonwealth v. Jennison </w:t>
      </w:r>
      <w:r>
        <w:rPr>
          <w:rFonts w:ascii="Times" w:hAnsi="Times" w:cs="Arial"/>
          <w:sz w:val="24"/>
          <w:szCs w:val="24"/>
        </w:rPr>
        <w:t xml:space="preserve">available at </w:t>
      </w:r>
      <w:hyperlink r:id="rId16" w:history="1">
        <w:r w:rsidRPr="00C66AAF">
          <w:rPr>
            <w:rStyle w:val="Hyperlink"/>
            <w:rFonts w:ascii="Times" w:hAnsi="Times" w:cs="Arial"/>
            <w:sz w:val="24"/>
            <w:szCs w:val="24"/>
          </w:rPr>
          <w:t>http://www.lexisnexis.com/academic/1univ/hist/aa/aas_case.asp</w:t>
        </w:r>
      </w:hyperlink>
    </w:p>
    <w:p w:rsidR="00E02DBB" w:rsidRDefault="00E02DBB" w:rsidP="00D67F96">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February </w:t>
      </w:r>
      <w:r w:rsidR="00F633A0">
        <w:rPr>
          <w:rFonts w:ascii="Times" w:hAnsi="Times" w:cs="Arial"/>
          <w:sz w:val="24"/>
          <w:szCs w:val="24"/>
        </w:rPr>
        <w:t>24, 2015</w:t>
      </w:r>
    </w:p>
    <w:p w:rsidR="00E02DBB" w:rsidRDefault="00E02DBB" w:rsidP="00E02DBB">
      <w:pPr>
        <w:rPr>
          <w:rFonts w:ascii="Times" w:hAnsi="Times" w:cs="Arial"/>
          <w:sz w:val="24"/>
          <w:szCs w:val="24"/>
        </w:rPr>
      </w:pPr>
      <w:r>
        <w:rPr>
          <w:rFonts w:ascii="Times" w:hAnsi="Times" w:cs="Arial"/>
          <w:sz w:val="24"/>
          <w:szCs w:val="24"/>
        </w:rPr>
        <w:t xml:space="preserve">Lecture: </w:t>
      </w:r>
      <w:r w:rsidR="00D67F96">
        <w:rPr>
          <w:rFonts w:ascii="Times" w:hAnsi="Times" w:cs="Arial"/>
          <w:sz w:val="24"/>
          <w:szCs w:val="24"/>
        </w:rPr>
        <w:t>The Age of John Marshall</w:t>
      </w:r>
    </w:p>
    <w:p w:rsidR="00864A29" w:rsidRDefault="00E02DBB" w:rsidP="00D67F96">
      <w:pPr>
        <w:rPr>
          <w:rFonts w:ascii="Times" w:hAnsi="Times" w:cs="Arial"/>
          <w:sz w:val="24"/>
          <w:szCs w:val="24"/>
        </w:rPr>
      </w:pPr>
      <w:r>
        <w:rPr>
          <w:rFonts w:ascii="Times" w:hAnsi="Times" w:cs="Arial"/>
          <w:sz w:val="24"/>
          <w:szCs w:val="24"/>
        </w:rPr>
        <w:t xml:space="preserve">Readings: </w:t>
      </w:r>
      <w:r w:rsidR="00D67F96">
        <w:rPr>
          <w:rFonts w:ascii="Times" w:hAnsi="Times" w:cs="Arial"/>
          <w:sz w:val="24"/>
          <w:szCs w:val="24"/>
        </w:rPr>
        <w:t>Finkelman, pp. 138-164</w:t>
      </w:r>
    </w:p>
    <w:p w:rsidR="00D67F96" w:rsidRDefault="00864A29" w:rsidP="00D67F96">
      <w:pPr>
        <w:rPr>
          <w:rFonts w:ascii="Times" w:hAnsi="Times" w:cs="Arial"/>
          <w:sz w:val="24"/>
          <w:szCs w:val="24"/>
        </w:rPr>
      </w:pPr>
      <w:r>
        <w:rPr>
          <w:rFonts w:ascii="Times" w:hAnsi="Times" w:cs="Arial"/>
          <w:sz w:val="24"/>
          <w:szCs w:val="24"/>
        </w:rPr>
        <w:t>Cushman, pp. 1-45</w:t>
      </w:r>
    </w:p>
    <w:p w:rsidR="00E02DBB" w:rsidRPr="00D67F96" w:rsidRDefault="00D67F96" w:rsidP="00D67F96">
      <w:pPr>
        <w:rPr>
          <w:rFonts w:ascii="Times" w:hAnsi="Times" w:cs="Arial"/>
          <w:sz w:val="24"/>
          <w:szCs w:val="24"/>
        </w:rPr>
      </w:pPr>
      <w:r>
        <w:rPr>
          <w:rFonts w:ascii="Times" w:hAnsi="Times" w:cs="Arial"/>
          <w:sz w:val="24"/>
          <w:szCs w:val="24"/>
        </w:rPr>
        <w:t xml:space="preserve">Case brief #2 (optional due date): </w:t>
      </w:r>
      <w:r>
        <w:rPr>
          <w:rFonts w:ascii="Times" w:hAnsi="Times" w:cs="Arial"/>
          <w:i/>
          <w:sz w:val="24"/>
          <w:szCs w:val="24"/>
        </w:rPr>
        <w:t xml:space="preserve">Marbury v. Madison </w:t>
      </w:r>
      <w:r>
        <w:rPr>
          <w:rFonts w:ascii="Times" w:hAnsi="Times" w:cs="Arial"/>
          <w:sz w:val="24"/>
          <w:szCs w:val="24"/>
        </w:rPr>
        <w:t xml:space="preserve">available at </w:t>
      </w:r>
      <w:hyperlink r:id="rId17" w:history="1">
        <w:r w:rsidRPr="00C66AAF">
          <w:rPr>
            <w:rStyle w:val="Hyperlink"/>
            <w:rFonts w:ascii="Times" w:hAnsi="Times" w:cs="Arial"/>
            <w:sz w:val="24"/>
            <w:szCs w:val="24"/>
          </w:rPr>
          <w:t>http://supreme.justia.com/cases/federal/us/5/137/case.html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February </w:t>
      </w:r>
      <w:r w:rsidR="00F633A0">
        <w:rPr>
          <w:rFonts w:ascii="Times" w:hAnsi="Times" w:cs="Arial"/>
          <w:sz w:val="24"/>
          <w:szCs w:val="24"/>
        </w:rPr>
        <w:t>26, 2015</w:t>
      </w:r>
    </w:p>
    <w:p w:rsidR="00D67F96" w:rsidRPr="00624B84" w:rsidRDefault="00F633A0" w:rsidP="00D67F96">
      <w:pPr>
        <w:rPr>
          <w:rFonts w:ascii="Times" w:hAnsi="Times" w:cs="Arial"/>
          <w:b/>
          <w:sz w:val="24"/>
          <w:szCs w:val="24"/>
        </w:rPr>
      </w:pPr>
      <w:r w:rsidRPr="00624B84">
        <w:rPr>
          <w:rFonts w:ascii="Times" w:hAnsi="Times" w:cs="Arial"/>
          <w:b/>
          <w:sz w:val="24"/>
          <w:szCs w:val="24"/>
        </w:rPr>
        <w:t xml:space="preserve">MIDTERM EXAMINATION (study guide distributed </w:t>
      </w:r>
      <w:r w:rsidR="00624B84" w:rsidRPr="00624B84">
        <w:rPr>
          <w:rFonts w:ascii="Times" w:hAnsi="Times" w:cs="Arial"/>
          <w:b/>
          <w:sz w:val="24"/>
          <w:szCs w:val="24"/>
        </w:rPr>
        <w:t>02/20/2015)</w:t>
      </w:r>
    </w:p>
    <w:p w:rsidR="00E02DBB" w:rsidRDefault="00E02DBB" w:rsidP="00D67F96">
      <w:pPr>
        <w:rPr>
          <w:rFonts w:ascii="Times" w:hAnsi="Times" w:cs="Arial"/>
          <w:sz w:val="24"/>
          <w:szCs w:val="24"/>
        </w:rPr>
      </w:pPr>
    </w:p>
    <w:p w:rsidR="00E02DBB" w:rsidRDefault="00F633A0" w:rsidP="00E02DBB">
      <w:pPr>
        <w:rPr>
          <w:rFonts w:ascii="Times" w:hAnsi="Times" w:cs="Arial"/>
          <w:sz w:val="24"/>
          <w:szCs w:val="24"/>
        </w:rPr>
      </w:pPr>
      <w:r>
        <w:rPr>
          <w:rFonts w:ascii="Times" w:hAnsi="Times" w:cs="Arial"/>
          <w:sz w:val="24"/>
          <w:szCs w:val="24"/>
        </w:rPr>
        <w:t>March 3, 2015</w:t>
      </w:r>
    </w:p>
    <w:p w:rsidR="00E02DBB" w:rsidRDefault="00E02DBB" w:rsidP="00E02DBB">
      <w:pPr>
        <w:rPr>
          <w:rFonts w:ascii="Times" w:hAnsi="Times" w:cs="Arial"/>
          <w:sz w:val="24"/>
          <w:szCs w:val="24"/>
        </w:rPr>
      </w:pPr>
      <w:r>
        <w:rPr>
          <w:rFonts w:ascii="Times" w:hAnsi="Times" w:cs="Arial"/>
          <w:sz w:val="24"/>
          <w:szCs w:val="24"/>
        </w:rPr>
        <w:t xml:space="preserve">Lecture: </w:t>
      </w:r>
      <w:r w:rsidR="00D67F96">
        <w:rPr>
          <w:rFonts w:ascii="Times" w:hAnsi="Times" w:cs="Arial"/>
          <w:sz w:val="24"/>
          <w:szCs w:val="24"/>
        </w:rPr>
        <w:t>Law and Economic Growth in Antebellum America</w:t>
      </w:r>
      <w:r>
        <w:rPr>
          <w:rFonts w:ascii="Times" w:hAnsi="Times" w:cs="Arial"/>
          <w:sz w:val="24"/>
          <w:szCs w:val="24"/>
        </w:rPr>
        <w:t xml:space="preserve"> </w:t>
      </w:r>
    </w:p>
    <w:p w:rsidR="00EF7BE1" w:rsidRDefault="00E02DBB" w:rsidP="00E02DBB">
      <w:pPr>
        <w:rPr>
          <w:rFonts w:ascii="Times" w:hAnsi="Times" w:cs="Arial"/>
          <w:sz w:val="24"/>
          <w:szCs w:val="24"/>
        </w:rPr>
      </w:pPr>
      <w:r>
        <w:rPr>
          <w:rFonts w:ascii="Times" w:hAnsi="Times" w:cs="Arial"/>
          <w:sz w:val="24"/>
          <w:szCs w:val="24"/>
        </w:rPr>
        <w:t>Reading</w:t>
      </w:r>
      <w:r w:rsidR="00D67F96">
        <w:rPr>
          <w:rFonts w:ascii="Times" w:hAnsi="Times" w:cs="Arial"/>
          <w:sz w:val="24"/>
          <w:szCs w:val="24"/>
        </w:rPr>
        <w:t xml:space="preserve">: Finkelman, </w:t>
      </w:r>
      <w:r w:rsidR="00EF7BE1">
        <w:rPr>
          <w:rFonts w:ascii="Times" w:hAnsi="Times" w:cs="Arial"/>
          <w:sz w:val="24"/>
          <w:szCs w:val="24"/>
        </w:rPr>
        <w:t>pp. 171-199</w:t>
      </w:r>
    </w:p>
    <w:p w:rsidR="00EF7BE1" w:rsidRDefault="00624B84" w:rsidP="00E02DBB">
      <w:pPr>
        <w:rPr>
          <w:rFonts w:ascii="Times" w:hAnsi="Times" w:cs="Arial"/>
          <w:sz w:val="24"/>
          <w:szCs w:val="24"/>
        </w:rPr>
      </w:pPr>
      <w:r>
        <w:rPr>
          <w:rFonts w:ascii="Times" w:hAnsi="Times" w:cs="Arial"/>
          <w:sz w:val="24"/>
          <w:szCs w:val="24"/>
        </w:rPr>
        <w:t>Case brief #3</w:t>
      </w:r>
      <w:r w:rsidR="00EF7BE1">
        <w:rPr>
          <w:rFonts w:ascii="Times" w:hAnsi="Times" w:cs="Arial"/>
          <w:sz w:val="24"/>
          <w:szCs w:val="24"/>
        </w:rPr>
        <w:t xml:space="preserve"> (optional due date):  </w:t>
      </w:r>
      <w:r w:rsidR="00EF7BE1">
        <w:rPr>
          <w:rFonts w:ascii="Times" w:hAnsi="Times" w:cs="Arial"/>
          <w:i/>
          <w:sz w:val="24"/>
          <w:szCs w:val="24"/>
        </w:rPr>
        <w:t xml:space="preserve">Dartmouth College v. Woodward </w:t>
      </w:r>
      <w:r w:rsidR="00EF7BE1">
        <w:rPr>
          <w:rFonts w:ascii="Times" w:hAnsi="Times" w:cs="Arial"/>
          <w:sz w:val="24"/>
          <w:szCs w:val="24"/>
        </w:rPr>
        <w:t xml:space="preserve">available at </w:t>
      </w:r>
      <w:hyperlink r:id="rId18" w:history="1">
        <w:r w:rsidR="00EF7BE1" w:rsidRPr="00C66AAF">
          <w:rPr>
            <w:rStyle w:val="Hyperlink"/>
            <w:rFonts w:ascii="Times" w:hAnsi="Times" w:cs="Arial"/>
            <w:sz w:val="24"/>
            <w:szCs w:val="24"/>
          </w:rPr>
          <w:t>http://supreme.justia.com/cases/federal/us/17/518/case.html</w:t>
        </w:r>
      </w:hyperlink>
    </w:p>
    <w:p w:rsidR="00E02DBB" w:rsidRDefault="00E02DBB" w:rsidP="00E02DBB">
      <w:pPr>
        <w:rPr>
          <w:rFonts w:ascii="Times" w:hAnsi="Times" w:cs="Arial"/>
          <w:sz w:val="24"/>
          <w:szCs w:val="24"/>
        </w:rPr>
      </w:pPr>
    </w:p>
    <w:p w:rsidR="00E02DBB" w:rsidRDefault="00F633A0" w:rsidP="00E02DBB">
      <w:pPr>
        <w:rPr>
          <w:rFonts w:ascii="Times" w:hAnsi="Times" w:cs="Arial"/>
          <w:sz w:val="24"/>
          <w:szCs w:val="24"/>
        </w:rPr>
      </w:pPr>
      <w:r>
        <w:rPr>
          <w:rFonts w:ascii="Times" w:hAnsi="Times" w:cs="Arial"/>
          <w:sz w:val="24"/>
          <w:szCs w:val="24"/>
        </w:rPr>
        <w:t>March 5, 2015</w:t>
      </w:r>
    </w:p>
    <w:p w:rsidR="00E02DBB" w:rsidRDefault="00EF7BE1" w:rsidP="00E02DBB">
      <w:pPr>
        <w:rPr>
          <w:rFonts w:ascii="Times" w:hAnsi="Times" w:cs="Arial"/>
          <w:sz w:val="24"/>
          <w:szCs w:val="24"/>
        </w:rPr>
      </w:pPr>
      <w:r>
        <w:rPr>
          <w:rFonts w:ascii="Times" w:hAnsi="Times" w:cs="Arial"/>
          <w:sz w:val="24"/>
          <w:szCs w:val="24"/>
        </w:rPr>
        <w:t>Lecture: Slavery and State Law</w:t>
      </w:r>
    </w:p>
    <w:p w:rsidR="00EF7BE1" w:rsidRDefault="00E02DBB" w:rsidP="00E02DBB">
      <w:pPr>
        <w:rPr>
          <w:rFonts w:ascii="Times" w:hAnsi="Times" w:cs="Arial"/>
          <w:sz w:val="24"/>
          <w:szCs w:val="24"/>
        </w:rPr>
      </w:pPr>
      <w:r>
        <w:rPr>
          <w:rFonts w:ascii="Times" w:hAnsi="Times" w:cs="Arial"/>
          <w:sz w:val="24"/>
          <w:szCs w:val="24"/>
        </w:rPr>
        <w:t xml:space="preserve">Reading: </w:t>
      </w:r>
      <w:r w:rsidR="00EF7BE1">
        <w:rPr>
          <w:rFonts w:ascii="Times" w:hAnsi="Times" w:cs="Arial"/>
          <w:sz w:val="24"/>
          <w:szCs w:val="24"/>
        </w:rPr>
        <w:t>Finkelman, pp. 221-247</w:t>
      </w:r>
    </w:p>
    <w:p w:rsidR="00EF7BE1" w:rsidRDefault="00624B84" w:rsidP="00E02DBB">
      <w:pPr>
        <w:rPr>
          <w:rFonts w:ascii="Times" w:hAnsi="Times" w:cs="Arial"/>
          <w:sz w:val="24"/>
          <w:szCs w:val="24"/>
        </w:rPr>
      </w:pPr>
      <w:r>
        <w:rPr>
          <w:rFonts w:ascii="Times" w:hAnsi="Times" w:cs="Arial"/>
          <w:sz w:val="24"/>
          <w:szCs w:val="24"/>
        </w:rPr>
        <w:t>Case brief #4</w:t>
      </w:r>
      <w:r w:rsidR="00EF7BE1">
        <w:rPr>
          <w:rFonts w:ascii="Times" w:hAnsi="Times" w:cs="Arial"/>
          <w:sz w:val="24"/>
          <w:szCs w:val="24"/>
        </w:rPr>
        <w:t xml:space="preserve"> (optional due date): </w:t>
      </w:r>
      <w:r w:rsidR="00EF7BE1">
        <w:rPr>
          <w:rFonts w:ascii="Times" w:hAnsi="Times" w:cs="Arial"/>
          <w:i/>
          <w:sz w:val="24"/>
          <w:szCs w:val="24"/>
        </w:rPr>
        <w:t xml:space="preserve">Prigg v. Pennsylvania </w:t>
      </w:r>
      <w:r w:rsidR="00EF7BE1">
        <w:rPr>
          <w:rFonts w:ascii="Times" w:hAnsi="Times" w:cs="Arial"/>
          <w:sz w:val="24"/>
          <w:szCs w:val="24"/>
        </w:rPr>
        <w:t xml:space="preserve">available at </w:t>
      </w:r>
      <w:hyperlink r:id="rId19" w:history="1">
        <w:r w:rsidR="00EF7BE1" w:rsidRPr="00C66AAF">
          <w:rPr>
            <w:rStyle w:val="Hyperlink"/>
            <w:rFonts w:ascii="Times" w:hAnsi="Times" w:cs="Arial"/>
            <w:sz w:val="24"/>
            <w:szCs w:val="24"/>
          </w:rPr>
          <w:t>http://supreme.justia.com/cases/federal/us/41/539/case.html</w:t>
        </w:r>
      </w:hyperlink>
    </w:p>
    <w:p w:rsidR="00F633A0" w:rsidRDefault="00F633A0" w:rsidP="00E02DBB">
      <w:pPr>
        <w:rPr>
          <w:rFonts w:ascii="Times" w:hAnsi="Times" w:cs="Arial"/>
          <w:sz w:val="24"/>
          <w:szCs w:val="24"/>
        </w:rPr>
      </w:pPr>
    </w:p>
    <w:p w:rsidR="00E02DBB" w:rsidRPr="00F633A0" w:rsidRDefault="00F633A0" w:rsidP="00E02DBB">
      <w:pPr>
        <w:rPr>
          <w:rFonts w:ascii="Times" w:hAnsi="Times" w:cs="Arial"/>
          <w:b/>
          <w:sz w:val="24"/>
          <w:szCs w:val="24"/>
        </w:rPr>
      </w:pPr>
      <w:r w:rsidRPr="00F633A0">
        <w:rPr>
          <w:rFonts w:ascii="Times" w:hAnsi="Times" w:cs="Arial"/>
          <w:b/>
          <w:sz w:val="24"/>
          <w:szCs w:val="24"/>
        </w:rPr>
        <w:t>SPRING BREAK – NO CLASS MARCH 10 OR MARCH 12</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March </w:t>
      </w:r>
      <w:r w:rsidR="00624B84">
        <w:rPr>
          <w:rFonts w:ascii="Times" w:hAnsi="Times" w:cs="Arial"/>
          <w:sz w:val="24"/>
          <w:szCs w:val="24"/>
        </w:rPr>
        <w:t>17, 2015</w:t>
      </w:r>
    </w:p>
    <w:p w:rsidR="00EF7BE1" w:rsidRDefault="00EF7BE1" w:rsidP="00E02DBB">
      <w:pPr>
        <w:rPr>
          <w:rFonts w:ascii="Times" w:hAnsi="Times" w:cs="Arial"/>
          <w:sz w:val="24"/>
          <w:szCs w:val="24"/>
        </w:rPr>
      </w:pPr>
      <w:r>
        <w:rPr>
          <w:rFonts w:ascii="Times" w:hAnsi="Times" w:cs="Arial"/>
          <w:sz w:val="24"/>
          <w:szCs w:val="24"/>
        </w:rPr>
        <w:t>Lecture:  The Birth of the Asylum</w:t>
      </w:r>
    </w:p>
    <w:p w:rsidR="00EF7BE1" w:rsidRDefault="00EF7BE1" w:rsidP="00E02DBB">
      <w:pPr>
        <w:rPr>
          <w:rFonts w:ascii="Times" w:hAnsi="Times" w:cs="Arial"/>
          <w:sz w:val="24"/>
          <w:szCs w:val="24"/>
        </w:rPr>
      </w:pPr>
      <w:r>
        <w:rPr>
          <w:rFonts w:ascii="Times" w:hAnsi="Times" w:cs="Arial"/>
          <w:sz w:val="24"/>
          <w:szCs w:val="24"/>
        </w:rPr>
        <w:t xml:space="preserve">Reading: Michel Foucault, “The Birth of the Asylum” in </w:t>
      </w:r>
      <w:r>
        <w:rPr>
          <w:rFonts w:ascii="Times" w:hAnsi="Times" w:cs="Arial"/>
          <w:i/>
          <w:sz w:val="24"/>
          <w:szCs w:val="24"/>
        </w:rPr>
        <w:t>Madness and Civilization</w:t>
      </w:r>
      <w:r>
        <w:rPr>
          <w:rFonts w:ascii="Times" w:hAnsi="Times" w:cs="Arial"/>
          <w:sz w:val="24"/>
          <w:szCs w:val="24"/>
        </w:rPr>
        <w:t xml:space="preserve"> available at </w:t>
      </w:r>
      <w:hyperlink r:id="rId20" w:history="1">
        <w:r w:rsidRPr="00C66AAF">
          <w:rPr>
            <w:rStyle w:val="Hyperlink"/>
            <w:rFonts w:ascii="Times" w:hAnsi="Times" w:cs="Arial"/>
            <w:sz w:val="24"/>
            <w:szCs w:val="24"/>
          </w:rPr>
          <w:t>https://ia801607.us.archive.org/6/items/MichelFoucaultMadnessAndCivilization/Michel%20Foucault%20-%20Madness%20and%20Civilization.pdf</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1</w:t>
      </w:r>
      <w:r w:rsidR="00624B84">
        <w:rPr>
          <w:rFonts w:ascii="Times" w:hAnsi="Times" w:cs="Arial"/>
          <w:sz w:val="24"/>
          <w:szCs w:val="24"/>
        </w:rPr>
        <w:t>9, 2015</w:t>
      </w:r>
    </w:p>
    <w:p w:rsidR="00864A29" w:rsidRDefault="00864A29" w:rsidP="00E02DBB">
      <w:pPr>
        <w:rPr>
          <w:rFonts w:ascii="Times" w:hAnsi="Times" w:cs="Arial"/>
          <w:sz w:val="24"/>
          <w:szCs w:val="24"/>
        </w:rPr>
      </w:pPr>
      <w:r>
        <w:rPr>
          <w:rFonts w:ascii="Times" w:hAnsi="Times" w:cs="Arial"/>
          <w:sz w:val="24"/>
          <w:szCs w:val="24"/>
        </w:rPr>
        <w:t>Lecture: Judicial Personality and the Supreme Court</w:t>
      </w:r>
    </w:p>
    <w:p w:rsidR="00864A29" w:rsidRPr="00864A29" w:rsidRDefault="00864A29" w:rsidP="00E02DBB">
      <w:pPr>
        <w:rPr>
          <w:rFonts w:ascii="Times" w:hAnsi="Times" w:cs="Arial"/>
          <w:sz w:val="24"/>
          <w:szCs w:val="24"/>
        </w:rPr>
      </w:pPr>
      <w:r>
        <w:rPr>
          <w:rFonts w:ascii="Times" w:hAnsi="Times" w:cs="Arial"/>
          <w:sz w:val="24"/>
          <w:szCs w:val="24"/>
        </w:rPr>
        <w:t>Reading:  Cushman, pp. 105-140, 163-178, 229-249</w:t>
      </w:r>
    </w:p>
    <w:p w:rsidR="00E02DBB" w:rsidRDefault="00E02DBB" w:rsidP="00E02DBB">
      <w:pPr>
        <w:rPr>
          <w:rFonts w:ascii="Times" w:hAnsi="Times" w:cs="Arial"/>
          <w:b/>
          <w:sz w:val="24"/>
          <w:szCs w:val="24"/>
        </w:rPr>
      </w:pPr>
    </w:p>
    <w:p w:rsidR="00E02DBB" w:rsidRDefault="00E02DBB" w:rsidP="00E02DBB">
      <w:pPr>
        <w:rPr>
          <w:rFonts w:ascii="Times" w:hAnsi="Times" w:cs="Arial"/>
          <w:sz w:val="24"/>
          <w:szCs w:val="24"/>
        </w:rPr>
      </w:pPr>
      <w:r>
        <w:rPr>
          <w:rFonts w:ascii="Times" w:hAnsi="Times" w:cs="Arial"/>
          <w:sz w:val="24"/>
          <w:szCs w:val="24"/>
        </w:rPr>
        <w:t xml:space="preserve">March </w:t>
      </w:r>
      <w:r w:rsidR="00624B84">
        <w:rPr>
          <w:rFonts w:ascii="Times" w:hAnsi="Times" w:cs="Arial"/>
          <w:sz w:val="24"/>
          <w:szCs w:val="24"/>
        </w:rPr>
        <w:t>24, 2015</w:t>
      </w:r>
    </w:p>
    <w:p w:rsidR="00EF7BE1"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The History of Sexuality</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 xml:space="preserve">Michael Foucault, </w:t>
      </w:r>
      <w:r w:rsidR="00EC1FDB">
        <w:rPr>
          <w:rFonts w:ascii="Times" w:hAnsi="Times" w:cs="Arial"/>
          <w:i/>
          <w:sz w:val="24"/>
          <w:szCs w:val="24"/>
        </w:rPr>
        <w:t>The History of Sexuality, Volume 1</w:t>
      </w:r>
      <w:r w:rsidR="00EC1FDB">
        <w:rPr>
          <w:rFonts w:ascii="Times" w:hAnsi="Times" w:cs="Arial"/>
          <w:sz w:val="24"/>
          <w:szCs w:val="24"/>
        </w:rPr>
        <w:t xml:space="preserve">, pp. 1-51, 133-161 available at </w:t>
      </w:r>
      <w:hyperlink r:id="rId21" w:history="1">
        <w:r w:rsidR="00EC1FDB" w:rsidRPr="00C66AAF">
          <w:rPr>
            <w:rStyle w:val="Hyperlink"/>
            <w:rFonts w:ascii="Times" w:hAnsi="Times" w:cs="Arial"/>
            <w:sz w:val="24"/>
            <w:szCs w:val="24"/>
          </w:rPr>
          <w:t>http://suplaney.files.wordpress.com/2010/09/foucault-the-history-of-sexuality-volume-1.pdf</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March 2</w:t>
      </w:r>
      <w:r w:rsidR="00624B84">
        <w:rPr>
          <w:rFonts w:ascii="Times" w:hAnsi="Times" w:cs="Arial"/>
          <w:sz w:val="24"/>
          <w:szCs w:val="24"/>
        </w:rPr>
        <w:t>6, 2015</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Homosexuality and Deviance in the 19</w:t>
      </w:r>
      <w:r w:rsidR="00EC1FDB" w:rsidRPr="00EC1FDB">
        <w:rPr>
          <w:rFonts w:ascii="Times" w:hAnsi="Times" w:cs="Arial"/>
          <w:sz w:val="24"/>
          <w:szCs w:val="24"/>
          <w:vertAlign w:val="superscript"/>
        </w:rPr>
        <w:t>th</w:t>
      </w:r>
      <w:r w:rsidR="00EC1FDB">
        <w:rPr>
          <w:rFonts w:ascii="Times" w:hAnsi="Times" w:cs="Arial"/>
          <w:sz w:val="24"/>
          <w:szCs w:val="24"/>
        </w:rPr>
        <w:t xml:space="preserve"> Century</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 xml:space="preserve">George Chauncey, </w:t>
      </w:r>
      <w:r w:rsidR="00EC1FDB">
        <w:rPr>
          <w:rFonts w:ascii="Times" w:hAnsi="Times" w:cs="Arial"/>
          <w:i/>
          <w:sz w:val="24"/>
          <w:szCs w:val="24"/>
        </w:rPr>
        <w:t>Gay New York</w:t>
      </w:r>
      <w:r w:rsidR="00EC1FDB">
        <w:rPr>
          <w:rFonts w:ascii="Times" w:hAnsi="Times" w:cs="Arial"/>
          <w:sz w:val="24"/>
          <w:szCs w:val="24"/>
        </w:rPr>
        <w:t xml:space="preserve">, introduction available at </w:t>
      </w:r>
      <w:hyperlink r:id="rId22" w:history="1">
        <w:r w:rsidR="00EC1FDB" w:rsidRPr="00C66AAF">
          <w:rPr>
            <w:rStyle w:val="Hyperlink"/>
            <w:rFonts w:ascii="Times" w:hAnsi="Times" w:cs="Arial"/>
            <w:sz w:val="24"/>
            <w:szCs w:val="24"/>
          </w:rPr>
          <w:t>http://macaulay.cuny.edu/eportfolios/scott12sem2courseblog/files/2012/05/George-Chauncey-Gay-New-York-intro.pdf</w:t>
        </w:r>
      </w:hyperlink>
    </w:p>
    <w:p w:rsidR="00E02DBB" w:rsidRPr="00EC1FDB" w:rsidRDefault="00E02DBB" w:rsidP="00E02DBB">
      <w:pPr>
        <w:rPr>
          <w:rFonts w:ascii="Times" w:hAnsi="Times" w:cs="Arial"/>
          <w:sz w:val="24"/>
          <w:szCs w:val="24"/>
        </w:rPr>
      </w:pPr>
    </w:p>
    <w:p w:rsidR="00E02DBB" w:rsidRDefault="00624B84" w:rsidP="00E02DBB">
      <w:pPr>
        <w:rPr>
          <w:rFonts w:ascii="Times" w:hAnsi="Times" w:cs="Arial"/>
          <w:sz w:val="24"/>
          <w:szCs w:val="24"/>
        </w:rPr>
      </w:pPr>
      <w:r>
        <w:rPr>
          <w:rFonts w:ascii="Times" w:hAnsi="Times" w:cs="Arial"/>
          <w:sz w:val="24"/>
          <w:szCs w:val="24"/>
        </w:rPr>
        <w:t>March 31, 2015</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John “Old Smoke” Morrissey, the World’s Champion: Understanding Crime and Deviance Through Biography</w:t>
      </w:r>
    </w:p>
    <w:p w:rsidR="00E02DBB" w:rsidRDefault="00E02DBB" w:rsidP="00E02DBB">
      <w:pPr>
        <w:rPr>
          <w:rFonts w:ascii="Times" w:hAnsi="Times" w:cs="Arial"/>
          <w:sz w:val="24"/>
          <w:szCs w:val="24"/>
        </w:rPr>
      </w:pPr>
      <w:r>
        <w:rPr>
          <w:rFonts w:ascii="Times" w:hAnsi="Times" w:cs="Arial"/>
          <w:sz w:val="24"/>
          <w:szCs w:val="24"/>
        </w:rPr>
        <w:t>Reading: none</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2, 2015</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Abraham Lincoln’s Constitution</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Finkelman, pp. 252-261</w:t>
      </w:r>
    </w:p>
    <w:p w:rsidR="00EC1FDB" w:rsidRDefault="00624B84" w:rsidP="00E02DBB">
      <w:pPr>
        <w:rPr>
          <w:rFonts w:ascii="Times" w:hAnsi="Times" w:cs="Arial"/>
          <w:sz w:val="24"/>
          <w:szCs w:val="24"/>
        </w:rPr>
      </w:pPr>
      <w:r>
        <w:rPr>
          <w:rFonts w:ascii="Times" w:hAnsi="Times" w:cs="Arial"/>
          <w:sz w:val="24"/>
          <w:szCs w:val="24"/>
        </w:rPr>
        <w:t>Case brief #5</w:t>
      </w:r>
      <w:r w:rsidR="00EC1FDB">
        <w:rPr>
          <w:rFonts w:ascii="Times" w:hAnsi="Times" w:cs="Arial"/>
          <w:sz w:val="24"/>
          <w:szCs w:val="24"/>
        </w:rPr>
        <w:t xml:space="preserve"> (optional due date): </w:t>
      </w:r>
      <w:r w:rsidR="00EC1FDB">
        <w:rPr>
          <w:rFonts w:ascii="Times" w:hAnsi="Times" w:cs="Arial"/>
          <w:i/>
          <w:sz w:val="24"/>
          <w:szCs w:val="24"/>
        </w:rPr>
        <w:t xml:space="preserve">Dred Scott v. Sandford </w:t>
      </w:r>
      <w:r w:rsidR="00EC1FDB">
        <w:rPr>
          <w:rFonts w:ascii="Times" w:hAnsi="Times" w:cs="Arial"/>
          <w:sz w:val="24"/>
          <w:szCs w:val="24"/>
        </w:rPr>
        <w:t xml:space="preserve">available at </w:t>
      </w:r>
      <w:hyperlink r:id="rId23" w:history="1">
        <w:r w:rsidR="00EC1FDB" w:rsidRPr="00C66AAF">
          <w:rPr>
            <w:rStyle w:val="Hyperlink"/>
            <w:rFonts w:ascii="Times" w:hAnsi="Times" w:cs="Arial"/>
            <w:sz w:val="24"/>
            <w:szCs w:val="24"/>
          </w:rPr>
          <w:t>http://supreme.justia.com/cases/federal/us/60/393/case.html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7, 2015</w:t>
      </w:r>
    </w:p>
    <w:p w:rsidR="00E02DBB" w:rsidRDefault="00E02DBB" w:rsidP="00E02DBB">
      <w:pPr>
        <w:rPr>
          <w:rFonts w:ascii="Times" w:hAnsi="Times" w:cs="Arial"/>
          <w:i/>
          <w:sz w:val="24"/>
          <w:szCs w:val="24"/>
        </w:rPr>
      </w:pPr>
      <w:r>
        <w:rPr>
          <w:rFonts w:ascii="Times" w:hAnsi="Times" w:cs="Arial"/>
          <w:sz w:val="24"/>
          <w:szCs w:val="24"/>
        </w:rPr>
        <w:t xml:space="preserve">Lecture:  </w:t>
      </w:r>
      <w:r w:rsidR="00EC1FDB">
        <w:rPr>
          <w:rFonts w:ascii="Times" w:hAnsi="Times" w:cs="Arial"/>
          <w:sz w:val="24"/>
          <w:szCs w:val="24"/>
        </w:rPr>
        <w:t>Crime and Punishment in the 19</w:t>
      </w:r>
      <w:r w:rsidR="00EC1FDB" w:rsidRPr="00EC1FDB">
        <w:rPr>
          <w:rFonts w:ascii="Times" w:hAnsi="Times" w:cs="Arial"/>
          <w:sz w:val="24"/>
          <w:szCs w:val="24"/>
          <w:vertAlign w:val="superscript"/>
        </w:rPr>
        <w:t>th</w:t>
      </w:r>
      <w:r w:rsidR="00EC1FDB">
        <w:rPr>
          <w:rFonts w:ascii="Times" w:hAnsi="Times" w:cs="Arial"/>
          <w:sz w:val="24"/>
          <w:szCs w:val="24"/>
        </w:rPr>
        <w:t xml:space="preserve"> Century</w:t>
      </w:r>
    </w:p>
    <w:p w:rsidR="00E02DBB" w:rsidRPr="00E10194" w:rsidRDefault="00E02DBB" w:rsidP="00EC1FDB">
      <w:pPr>
        <w:rPr>
          <w:rFonts w:ascii="Times" w:hAnsi="Times" w:cs="Arial"/>
          <w:i/>
          <w:sz w:val="24"/>
          <w:szCs w:val="24"/>
        </w:rPr>
      </w:pPr>
      <w:r>
        <w:rPr>
          <w:rFonts w:ascii="Times" w:hAnsi="Times" w:cs="Arial"/>
          <w:sz w:val="24"/>
          <w:szCs w:val="24"/>
        </w:rPr>
        <w:t xml:space="preserve">Reading: </w:t>
      </w:r>
      <w:r w:rsidR="00EC1FDB">
        <w:rPr>
          <w:rFonts w:ascii="Times" w:hAnsi="Times" w:cs="Arial"/>
          <w:sz w:val="24"/>
          <w:szCs w:val="24"/>
        </w:rPr>
        <w:t>Finkelman, pp. 336-353</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9, 2015</w:t>
      </w:r>
    </w:p>
    <w:p w:rsidR="00E02DBB" w:rsidRDefault="00E02DBB" w:rsidP="00E02DBB">
      <w:pPr>
        <w:rPr>
          <w:rFonts w:ascii="Times" w:hAnsi="Times" w:cs="Arial"/>
          <w:sz w:val="24"/>
          <w:szCs w:val="24"/>
        </w:rPr>
      </w:pPr>
      <w:r>
        <w:rPr>
          <w:rFonts w:ascii="Times" w:hAnsi="Times" w:cs="Arial"/>
          <w:sz w:val="24"/>
          <w:szCs w:val="24"/>
        </w:rPr>
        <w:t xml:space="preserve">Lecture: </w:t>
      </w:r>
      <w:r w:rsidR="00EC1FDB">
        <w:rPr>
          <w:rFonts w:ascii="Times" w:hAnsi="Times" w:cs="Arial"/>
          <w:sz w:val="24"/>
          <w:szCs w:val="24"/>
        </w:rPr>
        <w:t>The Role of the Lawyer in American Society</w:t>
      </w:r>
    </w:p>
    <w:p w:rsidR="00E02DB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Finkelman, pp. 355-367</w:t>
      </w:r>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14, 2015</w:t>
      </w:r>
    </w:p>
    <w:p w:rsidR="00E02DBB" w:rsidRDefault="00EC1FDB" w:rsidP="00E02DBB">
      <w:pPr>
        <w:rPr>
          <w:rFonts w:ascii="Times" w:hAnsi="Times" w:cs="Arial"/>
          <w:sz w:val="24"/>
          <w:szCs w:val="24"/>
        </w:rPr>
      </w:pPr>
      <w:r>
        <w:rPr>
          <w:rFonts w:ascii="Times" w:hAnsi="Times" w:cs="Arial"/>
          <w:sz w:val="24"/>
          <w:szCs w:val="24"/>
        </w:rPr>
        <w:t>Lecture: Law and Race, 1800-1900</w:t>
      </w:r>
    </w:p>
    <w:p w:rsidR="00EC1FDB" w:rsidRDefault="00E02DBB" w:rsidP="00E02DBB">
      <w:pPr>
        <w:rPr>
          <w:rFonts w:ascii="Times" w:hAnsi="Times" w:cs="Arial"/>
          <w:sz w:val="24"/>
          <w:szCs w:val="24"/>
        </w:rPr>
      </w:pPr>
      <w:r>
        <w:rPr>
          <w:rFonts w:ascii="Times" w:hAnsi="Times" w:cs="Arial"/>
          <w:sz w:val="24"/>
          <w:szCs w:val="24"/>
        </w:rPr>
        <w:t xml:space="preserve">Reading: </w:t>
      </w:r>
      <w:r w:rsidR="00EC1FDB">
        <w:rPr>
          <w:rFonts w:ascii="Times" w:hAnsi="Times" w:cs="Arial"/>
          <w:sz w:val="24"/>
          <w:szCs w:val="24"/>
        </w:rPr>
        <w:t>Finkelman, pp. 287-316</w:t>
      </w:r>
    </w:p>
    <w:p w:rsidR="004B5929" w:rsidRDefault="00624B84" w:rsidP="00E02DBB">
      <w:pPr>
        <w:rPr>
          <w:rFonts w:ascii="Times" w:hAnsi="Times" w:cs="Arial"/>
          <w:sz w:val="24"/>
          <w:szCs w:val="24"/>
        </w:rPr>
      </w:pPr>
      <w:r>
        <w:rPr>
          <w:rFonts w:ascii="Times" w:hAnsi="Times" w:cs="Arial"/>
          <w:sz w:val="24"/>
          <w:szCs w:val="24"/>
        </w:rPr>
        <w:t>Case brief #6</w:t>
      </w:r>
      <w:r w:rsidR="00EC1FDB">
        <w:rPr>
          <w:rFonts w:ascii="Times" w:hAnsi="Times" w:cs="Arial"/>
          <w:sz w:val="24"/>
          <w:szCs w:val="24"/>
        </w:rPr>
        <w:t xml:space="preserve"> (optional due date): </w:t>
      </w:r>
      <w:r w:rsidR="00EC1FDB">
        <w:rPr>
          <w:rFonts w:ascii="Times" w:hAnsi="Times" w:cs="Arial"/>
          <w:i/>
          <w:sz w:val="24"/>
          <w:szCs w:val="24"/>
        </w:rPr>
        <w:t xml:space="preserve">Yick Wo v. Hopkins </w:t>
      </w:r>
      <w:r w:rsidR="00EC1FDB">
        <w:rPr>
          <w:rFonts w:ascii="Times" w:hAnsi="Times" w:cs="Arial"/>
          <w:sz w:val="24"/>
          <w:szCs w:val="24"/>
        </w:rPr>
        <w:t xml:space="preserve">available at </w:t>
      </w:r>
      <w:hyperlink r:id="rId24" w:history="1">
        <w:r w:rsidR="004B5929" w:rsidRPr="00C66AAF">
          <w:rPr>
            <w:rStyle w:val="Hyperlink"/>
            <w:rFonts w:ascii="Times" w:hAnsi="Times" w:cs="Arial"/>
            <w:sz w:val="24"/>
            <w:szCs w:val="24"/>
          </w:rPr>
          <w:t>http://supreme.justia.com/cases/federal/us/118/356/case.html</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16, 2015</w:t>
      </w:r>
    </w:p>
    <w:p w:rsidR="004B5929" w:rsidRDefault="004B5929" w:rsidP="004B5929">
      <w:pPr>
        <w:rPr>
          <w:rFonts w:ascii="Times" w:hAnsi="Times" w:cs="Arial"/>
          <w:sz w:val="24"/>
          <w:szCs w:val="24"/>
        </w:rPr>
      </w:pPr>
      <w:r>
        <w:rPr>
          <w:rFonts w:ascii="Times" w:hAnsi="Times" w:cs="Arial"/>
          <w:sz w:val="24"/>
          <w:szCs w:val="24"/>
        </w:rPr>
        <w:t>Lecture: Honor, Status, and Violence</w:t>
      </w:r>
    </w:p>
    <w:p w:rsidR="004B5929" w:rsidRDefault="004B5929" w:rsidP="004B5929">
      <w:pPr>
        <w:rPr>
          <w:rFonts w:ascii="Times" w:hAnsi="Times" w:cs="Arial"/>
          <w:sz w:val="24"/>
          <w:szCs w:val="24"/>
        </w:rPr>
      </w:pPr>
      <w:r>
        <w:rPr>
          <w:rFonts w:ascii="Times" w:hAnsi="Times" w:cs="Arial"/>
          <w:sz w:val="24"/>
          <w:szCs w:val="24"/>
        </w:rPr>
        <w:t xml:space="preserve">Reading: Elliot Gorn, “Gouge and Bite, Pull Hair and Scratch” available at </w:t>
      </w:r>
      <w:hyperlink r:id="rId25" w:history="1">
        <w:r w:rsidRPr="00C66AAF">
          <w:rPr>
            <w:rStyle w:val="Hyperlink"/>
            <w:rFonts w:ascii="Times" w:hAnsi="Times" w:cs="Arial"/>
            <w:sz w:val="24"/>
            <w:szCs w:val="24"/>
          </w:rPr>
          <w:t>http://suchma-sporthistory.wikispaces.com/file/view/Gorn+Week+2</w:t>
        </w:r>
      </w:hyperlink>
    </w:p>
    <w:p w:rsidR="00E02DBB" w:rsidRDefault="00E02DBB" w:rsidP="00E02DBB">
      <w:pPr>
        <w:rPr>
          <w:rFonts w:ascii="Times" w:hAnsi="Times" w:cs="Arial"/>
          <w:sz w:val="24"/>
          <w:szCs w:val="24"/>
        </w:rPr>
      </w:pPr>
    </w:p>
    <w:p w:rsidR="00E02DBB" w:rsidRDefault="00E02DBB" w:rsidP="00E02DBB">
      <w:pPr>
        <w:rPr>
          <w:rFonts w:ascii="Times" w:hAnsi="Times" w:cs="Arial"/>
          <w:sz w:val="24"/>
          <w:szCs w:val="24"/>
        </w:rPr>
      </w:pPr>
      <w:r>
        <w:rPr>
          <w:rFonts w:ascii="Times" w:hAnsi="Times" w:cs="Arial"/>
          <w:sz w:val="24"/>
          <w:szCs w:val="24"/>
        </w:rPr>
        <w:t xml:space="preserve">April </w:t>
      </w:r>
      <w:r w:rsidR="00624B84">
        <w:rPr>
          <w:rFonts w:ascii="Times" w:hAnsi="Times" w:cs="Arial"/>
          <w:sz w:val="24"/>
          <w:szCs w:val="24"/>
        </w:rPr>
        <w:t>21, 2015</w:t>
      </w:r>
    </w:p>
    <w:p w:rsidR="00E02DBB" w:rsidRDefault="00E02DBB" w:rsidP="00E02DBB">
      <w:pPr>
        <w:rPr>
          <w:rFonts w:ascii="Times" w:hAnsi="Times" w:cs="Arial"/>
          <w:sz w:val="24"/>
          <w:szCs w:val="24"/>
        </w:rPr>
      </w:pPr>
      <w:r>
        <w:rPr>
          <w:rFonts w:ascii="Times" w:hAnsi="Times" w:cs="Arial"/>
          <w:sz w:val="24"/>
          <w:szCs w:val="24"/>
        </w:rPr>
        <w:t xml:space="preserve">Lecture:  </w:t>
      </w:r>
      <w:r w:rsidR="004B5929">
        <w:rPr>
          <w:rFonts w:ascii="Times" w:hAnsi="Times" w:cs="Arial"/>
          <w:sz w:val="24"/>
          <w:szCs w:val="24"/>
        </w:rPr>
        <w:t>“The Life of the Law Has Been Experience”</w:t>
      </w:r>
    </w:p>
    <w:p w:rsidR="00E02DBB" w:rsidRDefault="00E02DBB" w:rsidP="00E02DBB">
      <w:pPr>
        <w:rPr>
          <w:rFonts w:ascii="Times" w:hAnsi="Times" w:cs="Arial"/>
          <w:sz w:val="24"/>
          <w:szCs w:val="24"/>
        </w:rPr>
      </w:pPr>
      <w:r>
        <w:rPr>
          <w:rFonts w:ascii="Times" w:hAnsi="Times" w:cs="Arial"/>
          <w:sz w:val="24"/>
          <w:szCs w:val="24"/>
        </w:rPr>
        <w:t xml:space="preserve">Reading: </w:t>
      </w:r>
      <w:r w:rsidR="004B5929">
        <w:rPr>
          <w:rFonts w:ascii="Times" w:hAnsi="Times" w:cs="Arial"/>
          <w:sz w:val="24"/>
          <w:szCs w:val="24"/>
        </w:rPr>
        <w:t xml:space="preserve">O. W. Holmes, “Natural Law” available at </w:t>
      </w:r>
      <w:hyperlink r:id="rId26" w:history="1">
        <w:r w:rsidR="004B5929" w:rsidRPr="00C66AAF">
          <w:rPr>
            <w:rStyle w:val="Hyperlink"/>
            <w:rFonts w:ascii="Times" w:hAnsi="Times" w:cs="Arial"/>
            <w:sz w:val="24"/>
            <w:szCs w:val="24"/>
          </w:rPr>
          <w:t>http://teachingamericanhistory.org/library/document/natural-law/</w:t>
        </w:r>
      </w:hyperlink>
    </w:p>
    <w:p w:rsidR="00E02DBB" w:rsidRDefault="00E02DBB" w:rsidP="00E02DBB">
      <w:pPr>
        <w:rPr>
          <w:rFonts w:ascii="Times" w:hAnsi="Times" w:cs="Arial"/>
          <w:sz w:val="24"/>
          <w:szCs w:val="24"/>
        </w:rPr>
      </w:pPr>
    </w:p>
    <w:p w:rsidR="00624B84" w:rsidRDefault="00624B84" w:rsidP="00E02DBB">
      <w:pPr>
        <w:rPr>
          <w:rFonts w:ascii="Times" w:hAnsi="Times" w:cs="Arial"/>
          <w:sz w:val="24"/>
          <w:szCs w:val="24"/>
        </w:rPr>
      </w:pPr>
      <w:r>
        <w:rPr>
          <w:rFonts w:ascii="Times" w:hAnsi="Times" w:cs="Arial"/>
          <w:sz w:val="24"/>
          <w:szCs w:val="24"/>
        </w:rPr>
        <w:t>April 23, 2015</w:t>
      </w:r>
    </w:p>
    <w:p w:rsidR="00624B84" w:rsidRDefault="00624B84" w:rsidP="00E02DBB">
      <w:pPr>
        <w:rPr>
          <w:rFonts w:ascii="Times" w:hAnsi="Times" w:cs="Arial"/>
          <w:sz w:val="24"/>
          <w:szCs w:val="24"/>
        </w:rPr>
      </w:pPr>
      <w:r>
        <w:rPr>
          <w:rFonts w:ascii="Times" w:hAnsi="Times" w:cs="Arial"/>
          <w:sz w:val="24"/>
          <w:szCs w:val="24"/>
        </w:rPr>
        <w:t>Video TBA</w:t>
      </w:r>
    </w:p>
    <w:p w:rsidR="00624B84" w:rsidRDefault="00624B84" w:rsidP="00E02DBB">
      <w:pPr>
        <w:rPr>
          <w:rFonts w:ascii="Times" w:hAnsi="Times" w:cs="Arial"/>
          <w:sz w:val="24"/>
          <w:szCs w:val="24"/>
        </w:rPr>
      </w:pPr>
    </w:p>
    <w:p w:rsidR="00624B84" w:rsidRDefault="00624B84" w:rsidP="00E02DBB">
      <w:pPr>
        <w:rPr>
          <w:rFonts w:ascii="Times" w:hAnsi="Times" w:cs="Arial"/>
          <w:sz w:val="24"/>
          <w:szCs w:val="24"/>
        </w:rPr>
      </w:pPr>
      <w:r>
        <w:rPr>
          <w:rFonts w:ascii="Times" w:hAnsi="Times" w:cs="Arial"/>
          <w:sz w:val="24"/>
          <w:szCs w:val="24"/>
        </w:rPr>
        <w:t>April 28, 2015</w:t>
      </w:r>
    </w:p>
    <w:p w:rsidR="00E02DBB" w:rsidRDefault="00E02DBB" w:rsidP="00E02DBB">
      <w:pPr>
        <w:rPr>
          <w:rFonts w:ascii="Times" w:hAnsi="Times" w:cs="Arial"/>
          <w:sz w:val="24"/>
          <w:szCs w:val="24"/>
        </w:rPr>
      </w:pPr>
      <w:r>
        <w:rPr>
          <w:rFonts w:ascii="Times" w:hAnsi="Times" w:cs="Arial"/>
          <w:sz w:val="24"/>
          <w:szCs w:val="24"/>
        </w:rPr>
        <w:t xml:space="preserve">Lecture:  Review session for </w:t>
      </w:r>
      <w:r w:rsidR="00624B84">
        <w:rPr>
          <w:rFonts w:ascii="Times" w:hAnsi="Times" w:cs="Arial"/>
          <w:sz w:val="24"/>
          <w:szCs w:val="24"/>
        </w:rPr>
        <w:t>second examination, concluding remarks</w:t>
      </w:r>
    </w:p>
    <w:p w:rsidR="00E02DBB" w:rsidRDefault="00E02DBB" w:rsidP="00E02DBB">
      <w:pPr>
        <w:rPr>
          <w:rFonts w:ascii="Times" w:hAnsi="Times" w:cs="Arial"/>
          <w:sz w:val="24"/>
          <w:szCs w:val="24"/>
        </w:rPr>
      </w:pPr>
      <w:r>
        <w:rPr>
          <w:rFonts w:ascii="Times" w:hAnsi="Times" w:cs="Arial"/>
          <w:sz w:val="24"/>
          <w:szCs w:val="24"/>
        </w:rPr>
        <w:t xml:space="preserve">Reading: Review sheet </w:t>
      </w:r>
      <w:r w:rsidR="00624B84">
        <w:rPr>
          <w:rFonts w:ascii="Times" w:hAnsi="Times" w:cs="Arial"/>
          <w:sz w:val="24"/>
          <w:szCs w:val="24"/>
        </w:rPr>
        <w:t>(</w:t>
      </w:r>
      <w:r>
        <w:rPr>
          <w:rFonts w:ascii="Times" w:hAnsi="Times" w:cs="Arial"/>
          <w:sz w:val="24"/>
          <w:szCs w:val="24"/>
        </w:rPr>
        <w:t>distributed 04/</w:t>
      </w:r>
      <w:r w:rsidR="00624B84">
        <w:rPr>
          <w:rFonts w:ascii="Times" w:hAnsi="Times" w:cs="Arial"/>
          <w:sz w:val="24"/>
          <w:szCs w:val="24"/>
        </w:rPr>
        <w:t>26/2015)</w:t>
      </w:r>
    </w:p>
    <w:p w:rsidR="00E02DBB" w:rsidRDefault="00E02DBB" w:rsidP="00E02DBB">
      <w:pPr>
        <w:rPr>
          <w:rFonts w:ascii="Times" w:hAnsi="Times" w:cs="Arial"/>
          <w:sz w:val="24"/>
          <w:szCs w:val="24"/>
        </w:rPr>
      </w:pPr>
    </w:p>
    <w:p w:rsidR="00624B84" w:rsidRDefault="00624B84" w:rsidP="00E02DBB">
      <w:pPr>
        <w:rPr>
          <w:rFonts w:ascii="Times" w:hAnsi="Times" w:cs="Arial"/>
          <w:sz w:val="24"/>
          <w:szCs w:val="24"/>
        </w:rPr>
      </w:pPr>
      <w:r>
        <w:rPr>
          <w:rFonts w:ascii="Times" w:hAnsi="Times" w:cs="Arial"/>
          <w:sz w:val="24"/>
          <w:szCs w:val="24"/>
        </w:rPr>
        <w:t>April 30, 2015</w:t>
      </w:r>
    </w:p>
    <w:p w:rsidR="005B1CE0" w:rsidRPr="00624B84" w:rsidRDefault="005B1CE0" w:rsidP="005B1CE0">
      <w:pPr>
        <w:rPr>
          <w:rFonts w:ascii="Times" w:hAnsi="Times" w:cs="Arial"/>
          <w:b/>
          <w:sz w:val="24"/>
          <w:szCs w:val="24"/>
        </w:rPr>
      </w:pPr>
      <w:r>
        <w:rPr>
          <w:rFonts w:ascii="Times" w:hAnsi="Times" w:cs="Arial"/>
          <w:b/>
          <w:sz w:val="24"/>
          <w:szCs w:val="24"/>
        </w:rPr>
        <w:t>SECOND EXAMINATION</w:t>
      </w:r>
    </w:p>
    <w:p w:rsidR="00624B84" w:rsidRDefault="00624B84" w:rsidP="00E02DBB">
      <w:pPr>
        <w:rPr>
          <w:rFonts w:ascii="Times" w:hAnsi="Times" w:cs="Arial"/>
          <w:b/>
          <w:sz w:val="24"/>
          <w:szCs w:val="24"/>
        </w:rPr>
      </w:pPr>
    </w:p>
    <w:p w:rsidR="005B1CE0" w:rsidRDefault="005B1CE0" w:rsidP="00547F8B">
      <w:pPr>
        <w:rPr>
          <w:rFonts w:ascii="Times" w:hAnsi="Times" w:cs="Arial"/>
          <w:sz w:val="24"/>
          <w:szCs w:val="24"/>
        </w:rPr>
      </w:pPr>
      <w:r>
        <w:rPr>
          <w:rFonts w:ascii="Times" w:hAnsi="Times" w:cs="Arial"/>
          <w:sz w:val="24"/>
          <w:szCs w:val="24"/>
        </w:rPr>
        <w:t>May 5, 2015</w:t>
      </w:r>
    </w:p>
    <w:p w:rsidR="00BC550F" w:rsidRPr="005B1CE0" w:rsidRDefault="005B1CE0" w:rsidP="00547F8B">
      <w:pPr>
        <w:rPr>
          <w:rFonts w:ascii="Times" w:hAnsi="Times" w:cs="Arial"/>
          <w:b/>
          <w:sz w:val="24"/>
          <w:szCs w:val="24"/>
        </w:rPr>
      </w:pPr>
      <w:r>
        <w:rPr>
          <w:rFonts w:ascii="Times" w:hAnsi="Times" w:cs="Arial"/>
          <w:b/>
          <w:sz w:val="24"/>
          <w:szCs w:val="24"/>
        </w:rPr>
        <w:t xml:space="preserve">NO CLASS – </w:t>
      </w:r>
      <w:r w:rsidR="001339F6">
        <w:rPr>
          <w:rFonts w:ascii="Times" w:hAnsi="Times" w:cs="Arial"/>
          <w:b/>
          <w:sz w:val="24"/>
          <w:szCs w:val="24"/>
        </w:rPr>
        <w:t>HAVE A GREAT SUMMER!</w:t>
      </w:r>
    </w:p>
    <w:sectPr w:rsidR="00BC550F" w:rsidRPr="005B1CE0" w:rsidSect="00BC550F">
      <w:footerReference w:type="even" r:id="rId27"/>
      <w:footerReference w:type="default" r:id="rId2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A0" w:rsidRDefault="0063085E" w:rsidP="002A00D7">
    <w:pPr>
      <w:pStyle w:val="Footer"/>
      <w:framePr w:wrap="around" w:vAnchor="text" w:hAnchor="margin" w:xAlign="right" w:y="1"/>
      <w:rPr>
        <w:rStyle w:val="PageNumber"/>
      </w:rPr>
    </w:pPr>
    <w:r>
      <w:rPr>
        <w:rStyle w:val="PageNumber"/>
      </w:rPr>
      <w:fldChar w:fldCharType="begin"/>
    </w:r>
    <w:r w:rsidR="00F633A0">
      <w:rPr>
        <w:rStyle w:val="PageNumber"/>
      </w:rPr>
      <w:instrText xml:space="preserve">PAGE  </w:instrText>
    </w:r>
    <w:r>
      <w:rPr>
        <w:rStyle w:val="PageNumber"/>
      </w:rPr>
      <w:fldChar w:fldCharType="end"/>
    </w:r>
  </w:p>
  <w:p w:rsidR="00F633A0" w:rsidRDefault="00F633A0"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A0" w:rsidRDefault="0063085E" w:rsidP="002A00D7">
    <w:pPr>
      <w:pStyle w:val="Footer"/>
      <w:framePr w:wrap="around" w:vAnchor="text" w:hAnchor="margin" w:xAlign="right" w:y="1"/>
      <w:rPr>
        <w:rStyle w:val="PageNumber"/>
      </w:rPr>
    </w:pPr>
    <w:r>
      <w:rPr>
        <w:rStyle w:val="PageNumber"/>
      </w:rPr>
      <w:fldChar w:fldCharType="begin"/>
    </w:r>
    <w:r w:rsidR="00F633A0">
      <w:rPr>
        <w:rStyle w:val="PageNumber"/>
      </w:rPr>
      <w:instrText xml:space="preserve">PAGE  </w:instrText>
    </w:r>
    <w:r>
      <w:rPr>
        <w:rStyle w:val="PageNumber"/>
      </w:rPr>
      <w:fldChar w:fldCharType="separate"/>
    </w:r>
    <w:r w:rsidR="001339F6">
      <w:rPr>
        <w:rStyle w:val="PageNumber"/>
        <w:noProof/>
      </w:rPr>
      <w:t>7</w:t>
    </w:r>
    <w:r>
      <w:rPr>
        <w:rStyle w:val="PageNumber"/>
      </w:rPr>
      <w:fldChar w:fldCharType="end"/>
    </w:r>
  </w:p>
  <w:p w:rsidR="00F633A0" w:rsidRDefault="00F633A0"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E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B65DF"/>
    <w:multiLevelType w:val="multilevel"/>
    <w:tmpl w:val="E71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47061"/>
    <w:multiLevelType w:val="multilevel"/>
    <w:tmpl w:val="10E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2"/>
  </w:num>
  <w:num w:numId="5">
    <w:abstractNumId w:val="9"/>
  </w:num>
  <w:num w:numId="6">
    <w:abstractNumId w:val="8"/>
  </w:num>
  <w:num w:numId="7">
    <w:abstractNumId w:val="0"/>
  </w:num>
  <w:num w:numId="8">
    <w:abstractNumId w:val="12"/>
  </w:num>
  <w:num w:numId="9">
    <w:abstractNumId w:val="11"/>
  </w:num>
  <w:num w:numId="10">
    <w:abstractNumId w:val="10"/>
  </w:num>
  <w:num w:numId="11">
    <w:abstractNumId w:val="4"/>
  </w:num>
  <w:num w:numId="12">
    <w:abstractNumId w:val="17"/>
  </w:num>
  <w:num w:numId="13">
    <w:abstractNumId w:val="7"/>
  </w:num>
  <w:num w:numId="14">
    <w:abstractNumId w:val="6"/>
  </w:num>
  <w:num w:numId="15">
    <w:abstractNumId w:val="1"/>
  </w:num>
  <w:num w:numId="16">
    <w:abstractNumId w:val="3"/>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1184D"/>
    <w:rsid w:val="00014BCE"/>
    <w:rsid w:val="00052E6F"/>
    <w:rsid w:val="00057739"/>
    <w:rsid w:val="000814BF"/>
    <w:rsid w:val="0009342F"/>
    <w:rsid w:val="000E312B"/>
    <w:rsid w:val="001339F6"/>
    <w:rsid w:val="00136276"/>
    <w:rsid w:val="001A1732"/>
    <w:rsid w:val="001D694D"/>
    <w:rsid w:val="001E34D0"/>
    <w:rsid w:val="00222E7F"/>
    <w:rsid w:val="00231370"/>
    <w:rsid w:val="002359C3"/>
    <w:rsid w:val="00241CAC"/>
    <w:rsid w:val="002505E4"/>
    <w:rsid w:val="00262574"/>
    <w:rsid w:val="002A00D7"/>
    <w:rsid w:val="002A0F7E"/>
    <w:rsid w:val="002A6A34"/>
    <w:rsid w:val="002B29A3"/>
    <w:rsid w:val="002C49C4"/>
    <w:rsid w:val="002D3799"/>
    <w:rsid w:val="002D4815"/>
    <w:rsid w:val="002E7976"/>
    <w:rsid w:val="00303AFE"/>
    <w:rsid w:val="003A74FE"/>
    <w:rsid w:val="003E31D1"/>
    <w:rsid w:val="004055D5"/>
    <w:rsid w:val="0044549E"/>
    <w:rsid w:val="00462792"/>
    <w:rsid w:val="004B5929"/>
    <w:rsid w:val="004D2596"/>
    <w:rsid w:val="004D5E4E"/>
    <w:rsid w:val="004D7925"/>
    <w:rsid w:val="00511318"/>
    <w:rsid w:val="00523A04"/>
    <w:rsid w:val="00542F2E"/>
    <w:rsid w:val="005446C9"/>
    <w:rsid w:val="00547F8B"/>
    <w:rsid w:val="0056098E"/>
    <w:rsid w:val="00591DC0"/>
    <w:rsid w:val="005B1CE0"/>
    <w:rsid w:val="00606409"/>
    <w:rsid w:val="006158C9"/>
    <w:rsid w:val="00615D3D"/>
    <w:rsid w:val="00624B84"/>
    <w:rsid w:val="0063085E"/>
    <w:rsid w:val="00661C1C"/>
    <w:rsid w:val="00693DC3"/>
    <w:rsid w:val="00694B08"/>
    <w:rsid w:val="006A2717"/>
    <w:rsid w:val="00710264"/>
    <w:rsid w:val="00716D8A"/>
    <w:rsid w:val="00737F14"/>
    <w:rsid w:val="00765B33"/>
    <w:rsid w:val="007A7052"/>
    <w:rsid w:val="007B16F8"/>
    <w:rsid w:val="00801941"/>
    <w:rsid w:val="00826538"/>
    <w:rsid w:val="00844252"/>
    <w:rsid w:val="00850E60"/>
    <w:rsid w:val="008619C2"/>
    <w:rsid w:val="00864A29"/>
    <w:rsid w:val="00870D6B"/>
    <w:rsid w:val="008C01B5"/>
    <w:rsid w:val="008D74E4"/>
    <w:rsid w:val="008F0E0F"/>
    <w:rsid w:val="00935104"/>
    <w:rsid w:val="009901E2"/>
    <w:rsid w:val="00993434"/>
    <w:rsid w:val="009A0BC3"/>
    <w:rsid w:val="009C6120"/>
    <w:rsid w:val="009D21C8"/>
    <w:rsid w:val="009E657B"/>
    <w:rsid w:val="009F4CD2"/>
    <w:rsid w:val="00A05F50"/>
    <w:rsid w:val="00A12230"/>
    <w:rsid w:val="00A24072"/>
    <w:rsid w:val="00A47DF3"/>
    <w:rsid w:val="00A567CE"/>
    <w:rsid w:val="00A776D3"/>
    <w:rsid w:val="00AA6D08"/>
    <w:rsid w:val="00AC5C53"/>
    <w:rsid w:val="00AD7815"/>
    <w:rsid w:val="00AE49D8"/>
    <w:rsid w:val="00AE7072"/>
    <w:rsid w:val="00AF3B16"/>
    <w:rsid w:val="00B15E92"/>
    <w:rsid w:val="00B45A4D"/>
    <w:rsid w:val="00B774D3"/>
    <w:rsid w:val="00B95011"/>
    <w:rsid w:val="00BC550F"/>
    <w:rsid w:val="00C02226"/>
    <w:rsid w:val="00C154F0"/>
    <w:rsid w:val="00C43060"/>
    <w:rsid w:val="00C709AF"/>
    <w:rsid w:val="00CA6176"/>
    <w:rsid w:val="00CF58C8"/>
    <w:rsid w:val="00D34DCA"/>
    <w:rsid w:val="00D450F7"/>
    <w:rsid w:val="00D67F96"/>
    <w:rsid w:val="00DC1A69"/>
    <w:rsid w:val="00E02DBB"/>
    <w:rsid w:val="00E43DAF"/>
    <w:rsid w:val="00E46191"/>
    <w:rsid w:val="00E705C4"/>
    <w:rsid w:val="00E80C66"/>
    <w:rsid w:val="00EB3573"/>
    <w:rsid w:val="00EC1FDB"/>
    <w:rsid w:val="00EF7BE1"/>
    <w:rsid w:val="00F227D6"/>
    <w:rsid w:val="00F633A0"/>
    <w:rsid w:val="00F91A58"/>
    <w:rsid w:val="00FD048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Hyperlink" w:uiPriority="99"/>
    <w:lsdException w:name="Strong" w:uiPriority="22" w:qFormat="1"/>
    <w:lsdException w:name="Normal (Web)" w:uiPriority="99"/>
    <w:lsdException w:name="No List" w:uiPriority="99"/>
    <w:lsdException w:name="Table Grid" w:uiPriority="59"/>
    <w:lsdException w:name="List Paragraph" w:uiPriority="99" w:qFormat="1"/>
  </w:latentStyles>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iPriority w:val="99"/>
    <w:unhideWhenUsed/>
    <w:rsid w:val="00547F8B"/>
    <w:pPr>
      <w:tabs>
        <w:tab w:val="center" w:pos="4680"/>
        <w:tab w:val="right" w:pos="9360"/>
      </w:tabs>
    </w:pPr>
  </w:style>
  <w:style w:type="character" w:customStyle="1" w:styleId="FooterChar">
    <w:name w:val="Footer Char"/>
    <w:basedOn w:val="DefaultParagraphFont"/>
    <w:link w:val="Footer"/>
    <w:uiPriority w:val="99"/>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 w:type="character" w:customStyle="1" w:styleId="pslongeditbox">
    <w:name w:val="pslongeditbox"/>
    <w:rsid w:val="00E02DBB"/>
  </w:style>
  <w:style w:type="paragraph" w:styleId="ListParagraph">
    <w:name w:val="List Paragraph"/>
    <w:basedOn w:val="Normal"/>
    <w:uiPriority w:val="99"/>
    <w:qFormat/>
    <w:rsid w:val="00E02DBB"/>
    <w:pPr>
      <w:spacing w:after="200" w:line="276" w:lineRule="auto"/>
      <w:ind w:left="720"/>
      <w:contextualSpacing/>
    </w:pPr>
    <w:rPr>
      <w:rFonts w:eastAsia="Times New Roman"/>
      <w:lang w:eastAsia="en-US"/>
    </w:rPr>
  </w:style>
  <w:style w:type="character" w:customStyle="1" w:styleId="fonttastic">
    <w:name w:val="fonttastic"/>
    <w:rsid w:val="00E02DBB"/>
  </w:style>
</w:styles>
</file>

<file path=word/webSettings.xml><?xml version="1.0" encoding="utf-8"?>
<w:webSettings xmlns:r="http://schemas.openxmlformats.org/officeDocument/2006/relationships" xmlns:w="http://schemas.openxmlformats.org/wordprocessingml/2006/main">
  <w:divs>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s://ia801607.us.archive.org/6/items/MichelFoucaultMadnessAndCivilization/Michel%20Foucault%20-%20Madness%20and%20Civilization.pdf" TargetMode="External"/><Relationship Id="rId21" Type="http://schemas.openxmlformats.org/officeDocument/2006/relationships/hyperlink" Target="http://suplaney.files.wordpress.com/2010/09/foucault-the-history-of-sexuality-volume-1.pdf" TargetMode="External"/><Relationship Id="rId22" Type="http://schemas.openxmlformats.org/officeDocument/2006/relationships/hyperlink" Target="http://macaulay.cuny.edu/eportfolios/scott12sem2courseblog/files/2012/05/George-Chauncey-Gay-New-York-intro.pdf" TargetMode="External"/><Relationship Id="rId23" Type="http://schemas.openxmlformats.org/officeDocument/2006/relationships/hyperlink" Target="http://supreme.justia.com/cases/federal/us/60/393/case.html" TargetMode="External"/><Relationship Id="rId24" Type="http://schemas.openxmlformats.org/officeDocument/2006/relationships/hyperlink" Target="http://supreme.justia.com/cases/federal/us/118/356/case.html" TargetMode="External"/><Relationship Id="rId25" Type="http://schemas.openxmlformats.org/officeDocument/2006/relationships/hyperlink" Target="http://suchma-sporthistory.wikispaces.com/file/view/Gorn+Week+2" TargetMode="External"/><Relationship Id="rId26" Type="http://schemas.openxmlformats.org/officeDocument/2006/relationships/hyperlink" Target="http://teachingamericanhistory.org/library/document/natural-law/"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resources@uta.edu" TargetMode="External"/><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http://itpedia.nyu.edu/mediawiki/images/3/3e/Foucault-Discipline_and_Punish.pdf" TargetMode="External"/><Relationship Id="rId15" Type="http://schemas.openxmlformats.org/officeDocument/2006/relationships/hyperlink" Target="http://www.laits.utexas.edu/poltheory/james/blaste/blaste.html" TargetMode="External"/><Relationship Id="rId16" Type="http://schemas.openxmlformats.org/officeDocument/2006/relationships/hyperlink" Target="http://www.lexisnexis.com/academic/1univ/hist/aa/aas_case.asp" TargetMode="External"/><Relationship Id="rId17" Type="http://schemas.openxmlformats.org/officeDocument/2006/relationships/hyperlink" Target="http://supreme.justia.com/cases/federal/us/5/137/case.html" TargetMode="External"/><Relationship Id="rId18" Type="http://schemas.openxmlformats.org/officeDocument/2006/relationships/hyperlink" Target="http://supreme.justia.com/cases/federal/us/17/518/case.html" TargetMode="External"/><Relationship Id="rId19" Type="http://schemas.openxmlformats.org/officeDocument/2006/relationships/hyperlink" Target="http://supreme.justia.com/cases/federal/us/41/539/cas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Courtwatchers-Eyewitness-Accounts-Supreme-History/dp/1442212454" TargetMode="External"/><Relationship Id="rId6" Type="http://schemas.openxmlformats.org/officeDocument/2006/relationships/hyperlink" Target="http://www.amazon.com/American-Legal-History-Cases-Materials/dp/0195395425/ref=sr_1_6?s=books&amp;ie=UTF8&amp;qid=1414568703&amp;sr=1-6&amp;keywords=hall+finkelman"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2546</Words>
  <Characters>14514</Characters>
  <Application>Microsoft Macintosh Word</Application>
  <DocSecurity>0</DocSecurity>
  <Lines>120</Lines>
  <Paragraphs>29</Paragraphs>
  <ScaleCrop>false</ScaleCrop>
  <Company>University of Texas at Arlington</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11</cp:revision>
  <cp:lastPrinted>2012-08-24T04:12:00Z</cp:lastPrinted>
  <dcterms:created xsi:type="dcterms:W3CDTF">2015-01-13T08:00:00Z</dcterms:created>
  <dcterms:modified xsi:type="dcterms:W3CDTF">2015-01-13T10:03:00Z</dcterms:modified>
</cp:coreProperties>
</file>