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0" w:rsidRDefault="0014694B">
      <w:pPr>
        <w:overflowPunct w:val="0"/>
        <w:autoSpaceDE w:val="0"/>
        <w:autoSpaceDN w:val="0"/>
        <w:adjustRightInd w:val="0"/>
        <w:rPr>
          <w:sz w:val="20"/>
        </w:rPr>
      </w:pPr>
      <w:r>
        <w:rPr>
          <w:sz w:val="20"/>
        </w:rPr>
        <w:t xml:space="preserve">BIOL/HEED/PSYC 3303            </w:t>
      </w:r>
      <w:r>
        <w:rPr>
          <w:b/>
          <w:sz w:val="20"/>
        </w:rPr>
        <w:t>DRUGS AND BEHAVIOR</w:t>
      </w:r>
      <w:r w:rsidR="00C35EC4">
        <w:rPr>
          <w:sz w:val="20"/>
        </w:rPr>
        <w:t xml:space="preserve">       Summer I</w:t>
      </w:r>
      <w:r w:rsidR="000566A9">
        <w:rPr>
          <w:sz w:val="20"/>
        </w:rPr>
        <w:t xml:space="preserve"> 2015</w:t>
      </w:r>
    </w:p>
    <w:p w:rsidR="0014694B" w:rsidRDefault="0014694B">
      <w:pPr>
        <w:overflowPunct w:val="0"/>
        <w:autoSpaceDE w:val="0"/>
        <w:autoSpaceDN w:val="0"/>
        <w:adjustRightInd w:val="0"/>
        <w:jc w:val="center"/>
        <w:rPr>
          <w:sz w:val="20"/>
        </w:rPr>
      </w:pPr>
    </w:p>
    <w:p w:rsidR="0014694B" w:rsidRDefault="0014694B" w:rsidP="0014694B">
      <w:pPr>
        <w:overflowPunct w:val="0"/>
        <w:autoSpaceDE w:val="0"/>
        <w:autoSpaceDN w:val="0"/>
        <w:adjustRightInd w:val="0"/>
        <w:rPr>
          <w:sz w:val="20"/>
        </w:rPr>
      </w:pPr>
      <w:r>
        <w:rPr>
          <w:sz w:val="20"/>
          <w:u w:val="single"/>
        </w:rPr>
        <w:t>Instructor:</w:t>
      </w:r>
      <w:r>
        <w:rPr>
          <w:sz w:val="20"/>
        </w:rPr>
        <w:t xml:space="preserve"> Dr. Perry Fuchs (fuchs@uta.edu) </w:t>
      </w:r>
      <w:r>
        <w:rPr>
          <w:sz w:val="20"/>
          <w:u w:val="single"/>
        </w:rPr>
        <w:t>Office:</w:t>
      </w:r>
      <w:r w:rsidR="003112CB">
        <w:rPr>
          <w:sz w:val="20"/>
        </w:rPr>
        <w:t xml:space="preserve">  313</w:t>
      </w:r>
      <w:r>
        <w:rPr>
          <w:sz w:val="20"/>
        </w:rPr>
        <w:t>LS.</w:t>
      </w:r>
    </w:p>
    <w:p w:rsidR="0014694B" w:rsidRDefault="003112CB">
      <w:pPr>
        <w:overflowPunct w:val="0"/>
        <w:autoSpaceDE w:val="0"/>
        <w:autoSpaceDN w:val="0"/>
        <w:adjustRightInd w:val="0"/>
        <w:rPr>
          <w:sz w:val="20"/>
        </w:rPr>
      </w:pPr>
      <w:r>
        <w:rPr>
          <w:sz w:val="20"/>
        </w:rPr>
        <w:t xml:space="preserve">Graduate Teaching Assistant:  </w:t>
      </w:r>
      <w:r w:rsidR="000566A9">
        <w:rPr>
          <w:sz w:val="20"/>
        </w:rPr>
        <w:t>Michelle White</w:t>
      </w:r>
      <w:r>
        <w:rPr>
          <w:sz w:val="20"/>
        </w:rPr>
        <w:t xml:space="preserve"> (</w:t>
      </w:r>
      <w:r w:rsidR="000566A9" w:rsidRPr="000566A9">
        <w:rPr>
          <w:sz w:val="20"/>
        </w:rPr>
        <w:t>michellemwhite@mavs.uta.edu</w:t>
      </w:r>
      <w:r>
        <w:rPr>
          <w:sz w:val="20"/>
        </w:rPr>
        <w:t>)</w:t>
      </w:r>
    </w:p>
    <w:p w:rsidR="0014694B" w:rsidRDefault="0014694B">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14694B" w:rsidRDefault="0014694B">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14694B" w:rsidRDefault="0014694B">
      <w:pPr>
        <w:overflowPunct w:val="0"/>
        <w:autoSpaceDE w:val="0"/>
        <w:autoSpaceDN w:val="0"/>
        <w:adjustRightInd w:val="0"/>
        <w:rPr>
          <w:sz w:val="20"/>
          <w:u w:val="single"/>
        </w:rPr>
      </w:pPr>
    </w:p>
    <w:p w:rsidR="0014694B" w:rsidRDefault="0014694B">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C1756B">
        <w:rPr>
          <w:sz w:val="20"/>
        </w:rPr>
        <w:t xml:space="preserve">, </w:t>
      </w:r>
      <w:r w:rsidR="000566A9">
        <w:rPr>
          <w:sz w:val="20"/>
        </w:rPr>
        <w:t>8</w:t>
      </w:r>
      <w:r w:rsidR="006A5384">
        <w:rPr>
          <w:sz w:val="20"/>
        </w:rPr>
        <w:t>th</w:t>
      </w:r>
      <w:r>
        <w:rPr>
          <w:sz w:val="20"/>
        </w:rPr>
        <w:t xml:space="preserve"> ed., Allyn and Bacon, </w:t>
      </w:r>
      <w:smartTag w:uri="urn:schemas-microsoft-com:office:smarttags" w:element="place">
        <w:smartTag w:uri="urn:schemas-microsoft-com:office:smarttags" w:element="City">
          <w:r>
            <w:rPr>
              <w:sz w:val="20"/>
            </w:rPr>
            <w:t>Boston</w:t>
          </w:r>
        </w:smartTag>
      </w:smartTag>
      <w:r>
        <w:rPr>
          <w:sz w:val="20"/>
        </w:rPr>
        <w:t xml:space="preserve">. </w:t>
      </w:r>
    </w:p>
    <w:p w:rsidR="0014694B" w:rsidRDefault="0014694B">
      <w:pPr>
        <w:overflowPunct w:val="0"/>
        <w:autoSpaceDE w:val="0"/>
        <w:autoSpaceDN w:val="0"/>
        <w:adjustRightInd w:val="0"/>
        <w:rPr>
          <w:sz w:val="20"/>
        </w:rPr>
      </w:pPr>
    </w:p>
    <w:p w:rsidR="001008B9" w:rsidRPr="00137501" w:rsidRDefault="0014694B" w:rsidP="001008B9">
      <w:pPr>
        <w:overflowPunct w:val="0"/>
        <w:autoSpaceDE w:val="0"/>
        <w:autoSpaceDN w:val="0"/>
        <w:adjustRightInd w:val="0"/>
        <w:rPr>
          <w:sz w:val="20"/>
        </w:rPr>
      </w:pPr>
      <w:r>
        <w:rPr>
          <w:sz w:val="20"/>
          <w:u w:val="single"/>
        </w:rPr>
        <w:t xml:space="preserve">Examinations and Grading: </w:t>
      </w:r>
      <w:r w:rsidR="001A1DA6">
        <w:rPr>
          <w:sz w:val="20"/>
        </w:rPr>
        <w:t>There will be five</w:t>
      </w:r>
      <w:r>
        <w:rPr>
          <w:sz w:val="20"/>
        </w:rPr>
        <w:t xml:space="preserve"> multiple-choice examinations.  You are required to take </w:t>
      </w:r>
      <w:r w:rsidR="00C35EC4">
        <w:rPr>
          <w:sz w:val="20"/>
        </w:rPr>
        <w:t xml:space="preserve">all </w:t>
      </w:r>
      <w:r>
        <w:rPr>
          <w:sz w:val="20"/>
        </w:rPr>
        <w:t xml:space="preserve">exams. If you miss an exam, a grade of zero will be given. </w:t>
      </w:r>
      <w:r w:rsidR="00C35EC4">
        <w:rPr>
          <w:sz w:val="20"/>
        </w:rPr>
        <w:t xml:space="preserve">The final course grade will be determined by dividing the total number of correct answers by the total number of questions asked (each </w:t>
      </w:r>
      <w:r w:rsidR="00B67B44">
        <w:rPr>
          <w:sz w:val="20"/>
        </w:rPr>
        <w:t>exam will count approximately 20</w:t>
      </w:r>
      <w:r w:rsidR="00C35EC4">
        <w:rPr>
          <w:sz w:val="20"/>
        </w:rPr>
        <w:t xml:space="preserve">% towards the final course grade).  </w:t>
      </w:r>
      <w:r>
        <w:rPr>
          <w:sz w:val="20"/>
        </w:rPr>
        <w:t>A</w:t>
      </w:r>
      <w:r>
        <w:rPr>
          <w:sz w:val="20"/>
          <w:u w:val="single"/>
        </w:rPr>
        <w:t>&gt;</w:t>
      </w:r>
      <w:r>
        <w:rPr>
          <w:sz w:val="20"/>
        </w:rPr>
        <w:t>85, B: 84 - 75, C: 74 - 65, D: 64 - 55 and F&lt;55%.</w:t>
      </w:r>
      <w:r w:rsidR="00087405">
        <w:rPr>
          <w:sz w:val="20"/>
        </w:rPr>
        <w:t xml:space="preserve">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001008B9">
        <w:rPr>
          <w:sz w:val="20"/>
        </w:rPr>
        <w:t xml:space="preserve">  </w:t>
      </w:r>
      <w:r w:rsidR="001008B9" w:rsidRPr="00137501">
        <w:rPr>
          <w:sz w:val="20"/>
          <w:u w:val="single"/>
        </w:rPr>
        <w:t xml:space="preserve">Students are expected to supply their own </w:t>
      </w:r>
      <w:proofErr w:type="spellStart"/>
      <w:r w:rsidR="001008B9" w:rsidRPr="00137501">
        <w:rPr>
          <w:sz w:val="20"/>
          <w:u w:val="single"/>
        </w:rPr>
        <w:t>scantron</w:t>
      </w:r>
      <w:proofErr w:type="spellEnd"/>
      <w:r w:rsidR="001008B9" w:rsidRPr="00137501">
        <w:rPr>
          <w:sz w:val="20"/>
          <w:u w:val="single"/>
        </w:rPr>
        <w:t>, (form # 4521)</w:t>
      </w:r>
      <w:r w:rsidR="001008B9">
        <w:rPr>
          <w:sz w:val="20"/>
        </w:rPr>
        <w:t>.</w:t>
      </w:r>
    </w:p>
    <w:p w:rsidR="0014694B" w:rsidRDefault="0014694B">
      <w:pPr>
        <w:rPr>
          <w:iCs/>
          <w:sz w:val="20"/>
        </w:rPr>
      </w:pPr>
    </w:p>
    <w:p w:rsidR="0014694B" w:rsidRDefault="0014694B">
      <w:pPr>
        <w:rPr>
          <w:sz w:val="20"/>
        </w:rPr>
      </w:pPr>
      <w:r>
        <w:rPr>
          <w:iCs/>
          <w:sz w:val="20"/>
          <w:u w:val="single"/>
        </w:rPr>
        <w:t>Scholastic Dishonesty</w:t>
      </w:r>
      <w:r>
        <w:rPr>
          <w:iCs/>
          <w:sz w:val="20"/>
        </w:rPr>
        <w:t>:</w:t>
      </w:r>
      <w:r>
        <w:rPr>
          <w:sz w:val="20"/>
        </w:rPr>
        <w:t xml:space="preserve"> It is the philosophy of The University of Texas at </w:t>
      </w:r>
      <w:smartTag w:uri="urn:schemas-microsoft-com:office:smarttags" w:element="City">
        <w:smartTag w:uri="urn:schemas-microsoft-com:office:smarttags" w:element="place">
          <w:r>
            <w:rPr>
              <w:sz w:val="20"/>
            </w:rPr>
            <w:t>Arlington</w:t>
          </w:r>
        </w:smartTag>
      </w:smartTag>
      <w:r>
        <w:rPr>
          <w:sz w:val="20"/>
        </w:rPr>
        <w:t xml:space="preserve">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14694B" w:rsidRDefault="0014694B">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14694B" w:rsidRDefault="0014694B">
      <w:pPr>
        <w:overflowPunct w:val="0"/>
        <w:autoSpaceDE w:val="0"/>
        <w:autoSpaceDN w:val="0"/>
        <w:adjustRightInd w:val="0"/>
        <w:rPr>
          <w:sz w:val="20"/>
          <w:u w:val="single"/>
        </w:rPr>
      </w:pPr>
    </w:p>
    <w:p w:rsidR="0014694B" w:rsidRDefault="0014694B">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 xml:space="preserve">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Arlington</w:t>
          </w:r>
        </w:smartTag>
      </w:smartTag>
      <w:r>
        <w:rPr>
          <w:sz w:val="20"/>
        </w:rPr>
        <w:t xml:space="preserve">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City">
        <w:smartTag w:uri="urn:schemas-microsoft-com:office:smarttags" w:element="place">
          <w:r>
            <w:rPr>
              <w:sz w:val="20"/>
            </w:rPr>
            <w:t>ADA</w:t>
          </w:r>
        </w:smartTag>
      </w:smartTag>
      <w:r>
        <w:rPr>
          <w:sz w:val="20"/>
        </w:rPr>
        <w:t>), pursuant to section 504 of the Rehabilitation Act, there is renewed focus on providing this population with the same opportunities enjoyed by all citizens.</w:t>
      </w:r>
    </w:p>
    <w:p w:rsidR="0014694B" w:rsidRDefault="0014694B">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14694B" w:rsidRDefault="0014694B">
      <w:pPr>
        <w:rPr>
          <w:sz w:val="20"/>
        </w:rPr>
      </w:pPr>
    </w:p>
    <w:p w:rsidR="0014694B" w:rsidRDefault="0014694B">
      <w:pPr>
        <w:pStyle w:val="Heading1"/>
        <w:jc w:val="left"/>
        <w:rPr>
          <w:rFonts w:ascii="Times New Roman" w:hAnsi="Times New Roman"/>
          <w:b w:val="0"/>
          <w:bCs/>
          <w:sz w:val="20"/>
        </w:rPr>
      </w:pPr>
      <w:r>
        <w:rPr>
          <w:rFonts w:ascii="Times New Roman" w:hAnsi="Times New Roman"/>
          <w:b w:val="0"/>
          <w:bCs/>
          <w:sz w:val="20"/>
          <w:u w:val="single"/>
        </w:rPr>
        <w:t>Drop for Non-payment of Tuition</w:t>
      </w:r>
      <w:r>
        <w:rPr>
          <w:rFonts w:ascii="Times New Roman" w:hAnsi="Times New Roman"/>
          <w:b w:val="0"/>
          <w:bCs/>
          <w:sz w:val="20"/>
        </w:rPr>
        <w:t>:</w:t>
      </w:r>
      <w:r>
        <w:rPr>
          <w:rFonts w:ascii="Times New Roman" w:hAnsi="Times New Roman"/>
          <w:sz w:val="20"/>
        </w:rPr>
        <w:t xml:space="preserve">  </w:t>
      </w:r>
      <w:r>
        <w:rPr>
          <w:rFonts w:ascii="Times New Roman" w:hAnsi="Times New Roman"/>
          <w:b w:val="0"/>
          <w:bCs/>
          <w:sz w:val="20"/>
        </w:rPr>
        <w:t>If you are dropped from this class for non-payment of tuition, you may secure an Enrollment Loan through the Bursar’s Office.  You may not continue to attend class until your Enrollment Loan has been applied to outstanding tuition fees.</w:t>
      </w:r>
    </w:p>
    <w:p w:rsidR="0014694B" w:rsidRDefault="0014694B">
      <w:pPr>
        <w:rPr>
          <w:sz w:val="20"/>
        </w:rPr>
      </w:pPr>
    </w:p>
    <w:p w:rsidR="0014694B" w:rsidRDefault="0014694B">
      <w:pPr>
        <w:rPr>
          <w:sz w:val="20"/>
        </w:rPr>
      </w:pPr>
      <w:r>
        <w:rPr>
          <w:sz w:val="20"/>
          <w:u w:val="single"/>
        </w:rPr>
        <w:t>Student Success Programs</w:t>
      </w:r>
      <w:r>
        <w:rPr>
          <w:sz w:val="20"/>
        </w:rPr>
        <w:t xml:space="preserve">: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City">
        <w:smartTag w:uri="urn:schemas-microsoft-com:office:smarttags" w:element="place">
          <w:r>
            <w:rPr>
              <w:sz w:val="20"/>
            </w:rPr>
            <w:t>Arlington</w:t>
          </w:r>
        </w:smartTag>
      </w:smartTag>
      <w:r>
        <w:rPr>
          <w:sz w:val="20"/>
        </w:rP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w:t>
      </w:r>
    </w:p>
    <w:p w:rsidR="0014694B" w:rsidRDefault="0014694B">
      <w:pPr>
        <w:overflowPunct w:val="0"/>
        <w:autoSpaceDE w:val="0"/>
        <w:autoSpaceDN w:val="0"/>
        <w:adjustRightInd w:val="0"/>
        <w:jc w:val="center"/>
        <w:rPr>
          <w:b/>
          <w:bCs/>
        </w:rPr>
      </w:pPr>
      <w:r>
        <w:br w:type="page"/>
      </w:r>
      <w:r>
        <w:rPr>
          <w:b/>
          <w:bCs/>
        </w:rPr>
        <w:lastRenderedPageBreak/>
        <w:t>Drugs and Behavior</w:t>
      </w:r>
    </w:p>
    <w:p w:rsidR="0014694B" w:rsidRDefault="0014694B">
      <w:pPr>
        <w:overflowPunct w:val="0"/>
        <w:autoSpaceDE w:val="0"/>
        <w:autoSpaceDN w:val="0"/>
        <w:adjustRightInd w:val="0"/>
        <w:rPr>
          <w:sz w:val="20"/>
        </w:rPr>
      </w:pPr>
    </w:p>
    <w:p w:rsidR="006A5384" w:rsidRPr="00610861" w:rsidRDefault="006A5384" w:rsidP="006A5384">
      <w:pPr>
        <w:rPr>
          <w:color w:val="000000"/>
          <w:sz w:val="20"/>
          <w:szCs w:val="20"/>
        </w:rPr>
      </w:pPr>
      <w:r w:rsidRPr="00610861">
        <w:rPr>
          <w:color w:val="000000"/>
          <w:sz w:val="20"/>
          <w:szCs w:val="20"/>
          <w:u w:val="single"/>
        </w:rPr>
        <w:t>E-Culture Policy</w:t>
      </w:r>
      <w:r>
        <w:rPr>
          <w:color w:val="000000"/>
          <w:sz w:val="20"/>
          <w:szCs w:val="20"/>
        </w:rPr>
        <w:t>:</w:t>
      </w:r>
      <w:r w:rsidRPr="00610861">
        <w:rPr>
          <w:b/>
          <w:color w:val="000000"/>
          <w:sz w:val="20"/>
          <w:szCs w:val="20"/>
        </w:rPr>
        <w:t xml:space="preserve"> </w:t>
      </w:r>
      <w:r w:rsidRPr="00610861">
        <w:rPr>
          <w:color w:val="000000"/>
          <w:sz w:val="20"/>
          <w:szCs w:val="20"/>
        </w:rPr>
        <w:t xml:space="preserve">The </w:t>
      </w:r>
      <w:smartTag w:uri="urn:schemas-microsoft-com:office:smarttags" w:element="PlaceType">
        <w:r w:rsidRPr="00610861">
          <w:rPr>
            <w:color w:val="000000"/>
            <w:sz w:val="20"/>
            <w:szCs w:val="20"/>
          </w:rPr>
          <w:t>University</w:t>
        </w:r>
      </w:smartTag>
      <w:r w:rsidRPr="00610861">
        <w:rPr>
          <w:color w:val="000000"/>
          <w:sz w:val="20"/>
          <w:szCs w:val="20"/>
        </w:rPr>
        <w:t xml:space="preserve"> of </w:t>
      </w:r>
      <w:smartTag w:uri="urn:schemas-microsoft-com:office:smarttags" w:element="PlaceName">
        <w:r w:rsidRPr="00610861">
          <w:rPr>
            <w:color w:val="000000"/>
            <w:sz w:val="20"/>
            <w:szCs w:val="20"/>
          </w:rPr>
          <w:t>Texas</w:t>
        </w:r>
      </w:smartTag>
      <w:r w:rsidRPr="00610861">
        <w:rPr>
          <w:color w:val="000000"/>
          <w:sz w:val="20"/>
          <w:szCs w:val="20"/>
        </w:rPr>
        <w:t xml:space="preserve"> at </w:t>
      </w:r>
      <w:smartTag w:uri="urn:schemas-microsoft-com:office:smarttags" w:element="place">
        <w:smartTag w:uri="urn:schemas-microsoft-com:office:smarttags" w:element="City">
          <w:r w:rsidRPr="00610861">
            <w:rPr>
              <w:color w:val="000000"/>
              <w:sz w:val="20"/>
              <w:szCs w:val="20"/>
            </w:rPr>
            <w:t>Arlington</w:t>
          </w:r>
        </w:smartTag>
      </w:smartTag>
      <w:r w:rsidRPr="00610861">
        <w:rPr>
          <w:color w:val="000000"/>
          <w:sz w:val="20"/>
          <w:szCs w:val="2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6A5384" w:rsidRPr="00610861" w:rsidRDefault="006A5384" w:rsidP="006A5384">
      <w:pPr>
        <w:ind w:firstLine="720"/>
        <w:rPr>
          <w:color w:val="000000"/>
          <w:sz w:val="20"/>
          <w:szCs w:val="20"/>
        </w:rPr>
      </w:pPr>
      <w:r w:rsidRPr="00610861">
        <w:rPr>
          <w:color w:val="000000"/>
          <w:sz w:val="20"/>
          <w:szCs w:val="20"/>
        </w:rPr>
        <w:t xml:space="preserve">All students are assigned an email account and information about activating and using it is available at </w:t>
      </w:r>
      <w:hyperlink r:id="rId5" w:history="1">
        <w:r w:rsidRPr="00610861">
          <w:rPr>
            <w:rStyle w:val="Hyperlink"/>
            <w:sz w:val="20"/>
            <w:szCs w:val="20"/>
          </w:rPr>
          <w:t>www.uta.edu/email</w:t>
        </w:r>
      </w:hyperlink>
      <w:r w:rsidRPr="00610861">
        <w:rPr>
          <w:color w:val="000000"/>
          <w:sz w:val="20"/>
          <w:szCs w:val="2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6A5384" w:rsidRPr="00610861" w:rsidRDefault="006A5384" w:rsidP="006A5384">
      <w:pPr>
        <w:rPr>
          <w:sz w:val="20"/>
          <w:szCs w:val="20"/>
        </w:rPr>
      </w:pPr>
    </w:p>
    <w:p w:rsidR="006A5384" w:rsidRPr="00A60658" w:rsidRDefault="006A5384" w:rsidP="006A5384">
      <w:pPr>
        <w:rPr>
          <w:sz w:val="20"/>
          <w:szCs w:val="20"/>
        </w:rPr>
      </w:pPr>
      <w:r>
        <w:rPr>
          <w:sz w:val="20"/>
          <w:szCs w:val="20"/>
          <w:u w:val="single"/>
        </w:rPr>
        <w:t>Student L</w:t>
      </w:r>
      <w:r w:rsidRPr="00A60658">
        <w:rPr>
          <w:sz w:val="20"/>
          <w:szCs w:val="20"/>
          <w:u w:val="single"/>
        </w:rPr>
        <w:t xml:space="preserve">earning </w:t>
      </w:r>
      <w:r>
        <w:rPr>
          <w:sz w:val="20"/>
          <w:szCs w:val="20"/>
          <w:u w:val="single"/>
        </w:rPr>
        <w:t>O</w:t>
      </w:r>
      <w:r w:rsidRPr="00A60658">
        <w:rPr>
          <w:sz w:val="20"/>
          <w:szCs w:val="20"/>
          <w:u w:val="single"/>
        </w:rPr>
        <w:t>utcomes</w:t>
      </w:r>
      <w:r>
        <w:rPr>
          <w:sz w:val="20"/>
          <w:szCs w:val="20"/>
          <w:u w:val="single"/>
        </w:rPr>
        <w:t xml:space="preserve"> and Course Goals</w:t>
      </w:r>
      <w:r w:rsidRPr="00A60658">
        <w:rPr>
          <w:sz w:val="20"/>
          <w:szCs w:val="20"/>
          <w:u w:val="single"/>
        </w:rPr>
        <w:t>:</w:t>
      </w:r>
      <w:r>
        <w:rPr>
          <w:sz w:val="20"/>
          <w:szCs w:val="20"/>
        </w:rPr>
        <w:t xml:space="preserve">  </w:t>
      </w:r>
      <w:r>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1008B9">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14694B" w:rsidRDefault="0014694B">
      <w:pPr>
        <w:pStyle w:val="Heading1"/>
        <w:jc w:val="left"/>
      </w:pPr>
    </w:p>
    <w:p w:rsidR="0014694B" w:rsidRDefault="0014694B">
      <w:pPr>
        <w:pStyle w:val="Heading1"/>
        <w:jc w:val="left"/>
        <w:rPr>
          <w:rFonts w:ascii="Times New Roman" w:hAnsi="Times New Roman"/>
          <w:sz w:val="20"/>
        </w:rPr>
      </w:pPr>
      <w:r>
        <w:rPr>
          <w:rFonts w:ascii="Times New Roman" w:hAnsi="Times New Roman"/>
          <w:sz w:val="20"/>
        </w:rPr>
        <w:t>Lecture Schedule</w:t>
      </w:r>
    </w:p>
    <w:p w:rsidR="0014694B" w:rsidRDefault="0014694B">
      <w:pPr>
        <w:overflowPunct w:val="0"/>
        <w:autoSpaceDE w:val="0"/>
        <w:autoSpaceDN w:val="0"/>
        <w:adjustRightInd w:val="0"/>
        <w:rPr>
          <w:sz w:val="20"/>
        </w:rPr>
      </w:pPr>
    </w:p>
    <w:p w:rsidR="0014694B" w:rsidRDefault="0014694B">
      <w:pPr>
        <w:rPr>
          <w:sz w:val="20"/>
        </w:rPr>
      </w:pPr>
      <w:r>
        <w:rPr>
          <w:sz w:val="20"/>
        </w:rPr>
        <w:t>Drugs, and Drug –Taking Behavior</w:t>
      </w:r>
      <w:r>
        <w:rPr>
          <w:sz w:val="20"/>
        </w:rPr>
        <w:tab/>
      </w:r>
      <w:r>
        <w:rPr>
          <w:sz w:val="20"/>
        </w:rPr>
        <w:tab/>
        <w:t>Chapters 1 and 2</w:t>
      </w:r>
    </w:p>
    <w:p w:rsidR="001673DA" w:rsidRDefault="001673DA" w:rsidP="001673DA">
      <w:pPr>
        <w:rPr>
          <w:sz w:val="20"/>
        </w:rPr>
      </w:pPr>
      <w:r>
        <w:rPr>
          <w:sz w:val="20"/>
        </w:rPr>
        <w:t>Anatomy and Physiology</w:t>
      </w:r>
      <w:r>
        <w:rPr>
          <w:sz w:val="20"/>
        </w:rPr>
        <w:tab/>
      </w:r>
      <w:r>
        <w:rPr>
          <w:sz w:val="20"/>
        </w:rPr>
        <w:tab/>
      </w:r>
      <w:r>
        <w:rPr>
          <w:sz w:val="20"/>
        </w:rPr>
        <w:tab/>
        <w:t>Chapter 3</w:t>
      </w:r>
    </w:p>
    <w:p w:rsidR="001673DA" w:rsidRDefault="001673DA" w:rsidP="001673DA">
      <w:pPr>
        <w:rPr>
          <w:sz w:val="20"/>
        </w:rPr>
      </w:pPr>
      <w:r>
        <w:rPr>
          <w:sz w:val="20"/>
        </w:rPr>
        <w:t>Prescription and OTC Drugs</w:t>
      </w:r>
      <w:r>
        <w:rPr>
          <w:sz w:val="20"/>
        </w:rPr>
        <w:tab/>
      </w:r>
      <w:r>
        <w:rPr>
          <w:sz w:val="20"/>
        </w:rPr>
        <w:tab/>
        <w:t>Chapter 14</w:t>
      </w:r>
    </w:p>
    <w:p w:rsidR="001A1DA6" w:rsidRPr="00C35EC4" w:rsidRDefault="000566A9" w:rsidP="001A1DA6">
      <w:pPr>
        <w:rPr>
          <w:b/>
          <w:sz w:val="20"/>
        </w:rPr>
      </w:pPr>
      <w:r>
        <w:rPr>
          <w:b/>
          <w:sz w:val="20"/>
        </w:rPr>
        <w:t>Exam 1 – Monday June 15</w:t>
      </w:r>
    </w:p>
    <w:p w:rsidR="001A1DA6" w:rsidRDefault="001A1DA6">
      <w:pPr>
        <w:rPr>
          <w:sz w:val="20"/>
        </w:rPr>
      </w:pPr>
    </w:p>
    <w:p w:rsidR="0014694B" w:rsidRDefault="003112CB">
      <w:pPr>
        <w:rPr>
          <w:sz w:val="20"/>
        </w:rPr>
      </w:pPr>
      <w:r>
        <w:rPr>
          <w:sz w:val="20"/>
        </w:rPr>
        <w:t>Nicotine</w:t>
      </w:r>
      <w:r>
        <w:rPr>
          <w:sz w:val="20"/>
        </w:rPr>
        <w:tab/>
      </w:r>
      <w:r>
        <w:rPr>
          <w:sz w:val="20"/>
        </w:rPr>
        <w:tab/>
      </w:r>
      <w:r>
        <w:rPr>
          <w:sz w:val="20"/>
        </w:rPr>
        <w:tab/>
      </w:r>
      <w:r>
        <w:rPr>
          <w:sz w:val="20"/>
        </w:rPr>
        <w:tab/>
      </w:r>
      <w:r>
        <w:rPr>
          <w:sz w:val="20"/>
        </w:rPr>
        <w:tab/>
        <w:t>Chapter 10</w:t>
      </w:r>
    </w:p>
    <w:p w:rsidR="0014694B" w:rsidRDefault="003112CB">
      <w:pPr>
        <w:rPr>
          <w:sz w:val="20"/>
        </w:rPr>
      </w:pPr>
      <w:r>
        <w:rPr>
          <w:sz w:val="20"/>
        </w:rPr>
        <w:t>Caffeine</w:t>
      </w:r>
      <w:r>
        <w:rPr>
          <w:sz w:val="20"/>
        </w:rPr>
        <w:tab/>
      </w:r>
      <w:r>
        <w:rPr>
          <w:sz w:val="20"/>
        </w:rPr>
        <w:tab/>
      </w:r>
      <w:r>
        <w:rPr>
          <w:sz w:val="20"/>
        </w:rPr>
        <w:tab/>
      </w:r>
      <w:r>
        <w:rPr>
          <w:sz w:val="20"/>
        </w:rPr>
        <w:tab/>
      </w:r>
      <w:r>
        <w:rPr>
          <w:sz w:val="20"/>
        </w:rPr>
        <w:tab/>
        <w:t>Chapter 11</w:t>
      </w:r>
    </w:p>
    <w:p w:rsidR="003112CB" w:rsidRDefault="003112CB" w:rsidP="001673DA">
      <w:pPr>
        <w:rPr>
          <w:sz w:val="20"/>
        </w:rPr>
      </w:pPr>
      <w:r>
        <w:rPr>
          <w:sz w:val="20"/>
        </w:rPr>
        <w:t>Steroids</w:t>
      </w:r>
      <w:r>
        <w:rPr>
          <w:sz w:val="20"/>
        </w:rPr>
        <w:tab/>
      </w:r>
      <w:r>
        <w:rPr>
          <w:sz w:val="20"/>
        </w:rPr>
        <w:tab/>
      </w:r>
      <w:r>
        <w:rPr>
          <w:sz w:val="20"/>
        </w:rPr>
        <w:tab/>
      </w:r>
      <w:r>
        <w:rPr>
          <w:sz w:val="20"/>
        </w:rPr>
        <w:tab/>
      </w:r>
      <w:r>
        <w:rPr>
          <w:sz w:val="20"/>
        </w:rPr>
        <w:tab/>
        <w:t>Chapter 12</w:t>
      </w:r>
    </w:p>
    <w:p w:rsidR="00B872F8" w:rsidRDefault="001673DA" w:rsidP="00B872F8">
      <w:pPr>
        <w:rPr>
          <w:sz w:val="20"/>
        </w:rPr>
      </w:pPr>
      <w:r>
        <w:rPr>
          <w:b/>
          <w:sz w:val="20"/>
        </w:rPr>
        <w:t xml:space="preserve">Exam 2 – Monday June </w:t>
      </w:r>
      <w:r w:rsidR="000566A9">
        <w:rPr>
          <w:b/>
          <w:sz w:val="20"/>
        </w:rPr>
        <w:t>22</w:t>
      </w:r>
    </w:p>
    <w:p w:rsidR="00B872F8" w:rsidRDefault="00B872F8">
      <w:pPr>
        <w:rPr>
          <w:sz w:val="20"/>
        </w:rPr>
      </w:pPr>
    </w:p>
    <w:p w:rsidR="003112CB" w:rsidRDefault="003112CB" w:rsidP="003112CB">
      <w:pPr>
        <w:rPr>
          <w:sz w:val="20"/>
        </w:rPr>
      </w:pPr>
      <w:r>
        <w:rPr>
          <w:sz w:val="20"/>
        </w:rPr>
        <w:t>Inhalants</w:t>
      </w:r>
      <w:r>
        <w:rPr>
          <w:sz w:val="20"/>
        </w:rPr>
        <w:tab/>
      </w:r>
      <w:r>
        <w:rPr>
          <w:sz w:val="20"/>
        </w:rPr>
        <w:tab/>
      </w:r>
      <w:r>
        <w:rPr>
          <w:sz w:val="20"/>
        </w:rPr>
        <w:tab/>
      </w:r>
      <w:r>
        <w:rPr>
          <w:sz w:val="20"/>
        </w:rPr>
        <w:tab/>
        <w:t xml:space="preserve">Chapter 13 </w:t>
      </w:r>
      <w:proofErr w:type="spellStart"/>
      <w:r>
        <w:rPr>
          <w:sz w:val="20"/>
        </w:rPr>
        <w:t>pgs</w:t>
      </w:r>
      <w:proofErr w:type="spellEnd"/>
      <w:r>
        <w:rPr>
          <w:sz w:val="20"/>
        </w:rPr>
        <w:t xml:space="preserve"> 327-334</w:t>
      </w:r>
    </w:p>
    <w:p w:rsidR="0014694B" w:rsidRDefault="003112CB">
      <w:pPr>
        <w:rPr>
          <w:sz w:val="20"/>
        </w:rPr>
      </w:pPr>
      <w:r>
        <w:rPr>
          <w:sz w:val="20"/>
        </w:rPr>
        <w:t>Sedative-Hypnotics</w:t>
      </w:r>
      <w:r>
        <w:rPr>
          <w:sz w:val="20"/>
        </w:rPr>
        <w:tab/>
      </w:r>
      <w:r>
        <w:rPr>
          <w:sz w:val="20"/>
        </w:rPr>
        <w:tab/>
      </w:r>
      <w:r>
        <w:rPr>
          <w:sz w:val="20"/>
        </w:rPr>
        <w:tab/>
        <w:t xml:space="preserve">Chapter 13 </w:t>
      </w:r>
      <w:proofErr w:type="spellStart"/>
      <w:r>
        <w:rPr>
          <w:sz w:val="20"/>
        </w:rPr>
        <w:t>pgs</w:t>
      </w:r>
      <w:proofErr w:type="spellEnd"/>
      <w:r>
        <w:rPr>
          <w:sz w:val="20"/>
        </w:rPr>
        <w:t xml:space="preserve"> 314-327</w:t>
      </w:r>
    </w:p>
    <w:p w:rsidR="0014694B" w:rsidRDefault="0014694B">
      <w:pPr>
        <w:rPr>
          <w:sz w:val="20"/>
        </w:rPr>
      </w:pPr>
      <w:r>
        <w:rPr>
          <w:sz w:val="20"/>
        </w:rPr>
        <w:t>Stimulants</w:t>
      </w:r>
      <w:r>
        <w:rPr>
          <w:sz w:val="20"/>
        </w:rPr>
        <w:tab/>
      </w:r>
      <w:r>
        <w:rPr>
          <w:sz w:val="20"/>
        </w:rPr>
        <w:tab/>
      </w:r>
      <w:r>
        <w:rPr>
          <w:sz w:val="20"/>
        </w:rPr>
        <w:tab/>
      </w:r>
      <w:r>
        <w:rPr>
          <w:sz w:val="20"/>
        </w:rPr>
        <w:tab/>
        <w:t>Chapter 4</w:t>
      </w:r>
    </w:p>
    <w:p w:rsidR="001A1DA6" w:rsidRPr="00C35EC4" w:rsidRDefault="000566A9" w:rsidP="001A1DA6">
      <w:pPr>
        <w:rPr>
          <w:b/>
          <w:sz w:val="20"/>
        </w:rPr>
      </w:pPr>
      <w:r>
        <w:rPr>
          <w:b/>
          <w:sz w:val="20"/>
        </w:rPr>
        <w:t>Exam 3 – Monday June 29</w:t>
      </w:r>
    </w:p>
    <w:p w:rsidR="001A1DA6" w:rsidRDefault="001A1DA6">
      <w:pPr>
        <w:rPr>
          <w:sz w:val="20"/>
        </w:rPr>
      </w:pPr>
    </w:p>
    <w:p w:rsidR="001A1DA6" w:rsidRDefault="001A1DA6" w:rsidP="001A1DA6">
      <w:pPr>
        <w:rPr>
          <w:sz w:val="20"/>
        </w:rPr>
      </w:pPr>
    </w:p>
    <w:p w:rsidR="001A1DA6" w:rsidRDefault="001A1DA6" w:rsidP="001A1DA6">
      <w:pPr>
        <w:rPr>
          <w:sz w:val="20"/>
        </w:rPr>
      </w:pPr>
      <w:r>
        <w:rPr>
          <w:sz w:val="20"/>
        </w:rPr>
        <w:t>Opiates</w:t>
      </w:r>
      <w:r>
        <w:rPr>
          <w:sz w:val="20"/>
        </w:rPr>
        <w:tab/>
      </w:r>
      <w:r>
        <w:rPr>
          <w:sz w:val="20"/>
        </w:rPr>
        <w:tab/>
      </w:r>
      <w:r>
        <w:rPr>
          <w:sz w:val="20"/>
        </w:rPr>
        <w:tab/>
      </w:r>
      <w:r>
        <w:rPr>
          <w:sz w:val="20"/>
        </w:rPr>
        <w:tab/>
      </w:r>
      <w:r>
        <w:rPr>
          <w:sz w:val="20"/>
        </w:rPr>
        <w:tab/>
        <w:t>Chapter 5</w:t>
      </w:r>
    </w:p>
    <w:p w:rsidR="0014694B" w:rsidRDefault="0014694B">
      <w:pPr>
        <w:rPr>
          <w:sz w:val="20"/>
        </w:rPr>
      </w:pPr>
      <w:r>
        <w:rPr>
          <w:sz w:val="20"/>
        </w:rPr>
        <w:t>Hallucinogens</w:t>
      </w:r>
      <w:r>
        <w:rPr>
          <w:sz w:val="20"/>
        </w:rPr>
        <w:tab/>
      </w:r>
      <w:r>
        <w:rPr>
          <w:sz w:val="20"/>
        </w:rPr>
        <w:tab/>
      </w:r>
      <w:r>
        <w:rPr>
          <w:sz w:val="20"/>
        </w:rPr>
        <w:tab/>
      </w:r>
      <w:r>
        <w:rPr>
          <w:sz w:val="20"/>
        </w:rPr>
        <w:tab/>
        <w:t>Chapter 6</w:t>
      </w:r>
    </w:p>
    <w:p w:rsidR="00B872F8" w:rsidRDefault="003112CB" w:rsidP="00B872F8">
      <w:pPr>
        <w:rPr>
          <w:sz w:val="20"/>
        </w:rPr>
      </w:pPr>
      <w:r>
        <w:rPr>
          <w:sz w:val="20"/>
        </w:rPr>
        <w:t>Alcohol</w:t>
      </w:r>
      <w:r>
        <w:rPr>
          <w:sz w:val="20"/>
        </w:rPr>
        <w:tab/>
      </w:r>
      <w:r>
        <w:rPr>
          <w:sz w:val="20"/>
        </w:rPr>
        <w:tab/>
      </w:r>
      <w:r>
        <w:rPr>
          <w:sz w:val="20"/>
        </w:rPr>
        <w:tab/>
      </w:r>
      <w:r>
        <w:rPr>
          <w:sz w:val="20"/>
        </w:rPr>
        <w:tab/>
      </w:r>
      <w:r>
        <w:rPr>
          <w:sz w:val="20"/>
        </w:rPr>
        <w:tab/>
        <w:t>Chapters 8 and 9</w:t>
      </w:r>
    </w:p>
    <w:p w:rsidR="001A1DA6" w:rsidRPr="00C35EC4" w:rsidRDefault="001673DA" w:rsidP="001A1DA6">
      <w:pPr>
        <w:rPr>
          <w:b/>
          <w:sz w:val="20"/>
        </w:rPr>
      </w:pPr>
      <w:r>
        <w:rPr>
          <w:b/>
          <w:sz w:val="20"/>
        </w:rPr>
        <w:t xml:space="preserve">Exam 4 – </w:t>
      </w:r>
      <w:r w:rsidR="000566A9">
        <w:rPr>
          <w:b/>
          <w:sz w:val="20"/>
        </w:rPr>
        <w:t>Monday July 6</w:t>
      </w:r>
    </w:p>
    <w:p w:rsidR="001A1DA6" w:rsidRDefault="001A1DA6">
      <w:pPr>
        <w:rPr>
          <w:sz w:val="20"/>
        </w:rPr>
      </w:pPr>
    </w:p>
    <w:p w:rsidR="001008B9" w:rsidRDefault="001008B9">
      <w:pPr>
        <w:rPr>
          <w:sz w:val="20"/>
        </w:rPr>
      </w:pPr>
    </w:p>
    <w:p w:rsidR="00B872F8" w:rsidRDefault="00B872F8" w:rsidP="00B872F8">
      <w:pPr>
        <w:rPr>
          <w:sz w:val="20"/>
        </w:rPr>
      </w:pPr>
      <w:r>
        <w:rPr>
          <w:sz w:val="20"/>
        </w:rPr>
        <w:t>Marijuana</w:t>
      </w:r>
      <w:r>
        <w:rPr>
          <w:sz w:val="20"/>
        </w:rPr>
        <w:tab/>
      </w:r>
      <w:r>
        <w:rPr>
          <w:sz w:val="20"/>
        </w:rPr>
        <w:tab/>
      </w:r>
      <w:r>
        <w:rPr>
          <w:sz w:val="20"/>
        </w:rPr>
        <w:tab/>
      </w:r>
      <w:r>
        <w:rPr>
          <w:sz w:val="20"/>
        </w:rPr>
        <w:tab/>
        <w:t>Chapter 7</w:t>
      </w:r>
    </w:p>
    <w:p w:rsidR="0014694B" w:rsidRDefault="0014694B">
      <w:pPr>
        <w:rPr>
          <w:sz w:val="20"/>
        </w:rPr>
      </w:pPr>
      <w:r>
        <w:rPr>
          <w:sz w:val="20"/>
        </w:rPr>
        <w:t>Psyc</w:t>
      </w:r>
      <w:r w:rsidR="003112CB">
        <w:rPr>
          <w:sz w:val="20"/>
        </w:rPr>
        <w:t>hotherapeutic Drugs</w:t>
      </w:r>
      <w:r w:rsidR="003112CB">
        <w:rPr>
          <w:sz w:val="20"/>
        </w:rPr>
        <w:tab/>
      </w:r>
      <w:r w:rsidR="003112CB">
        <w:rPr>
          <w:sz w:val="20"/>
        </w:rPr>
        <w:tab/>
      </w:r>
      <w:r w:rsidR="003112CB">
        <w:rPr>
          <w:sz w:val="20"/>
        </w:rPr>
        <w:tab/>
        <w:t>Chapter 15</w:t>
      </w:r>
    </w:p>
    <w:p w:rsidR="0014694B" w:rsidRDefault="0014694B">
      <w:pPr>
        <w:rPr>
          <w:sz w:val="20"/>
        </w:rPr>
      </w:pPr>
      <w:r>
        <w:rPr>
          <w:sz w:val="20"/>
        </w:rPr>
        <w:t>Preven</w:t>
      </w:r>
      <w:r w:rsidR="003112CB">
        <w:rPr>
          <w:sz w:val="20"/>
        </w:rPr>
        <w:t>tion and Education</w:t>
      </w:r>
      <w:r w:rsidR="003112CB">
        <w:rPr>
          <w:sz w:val="20"/>
        </w:rPr>
        <w:tab/>
      </w:r>
      <w:r w:rsidR="003112CB">
        <w:rPr>
          <w:sz w:val="20"/>
        </w:rPr>
        <w:tab/>
      </w:r>
      <w:r w:rsidR="003112CB">
        <w:rPr>
          <w:sz w:val="20"/>
        </w:rPr>
        <w:tab/>
        <w:t>Chapters 16 and 17</w:t>
      </w:r>
    </w:p>
    <w:p w:rsidR="001A1DA6" w:rsidRPr="001A1DA6" w:rsidRDefault="000566A9">
      <w:pPr>
        <w:rPr>
          <w:b/>
          <w:sz w:val="20"/>
        </w:rPr>
      </w:pPr>
      <w:r>
        <w:rPr>
          <w:b/>
          <w:sz w:val="20"/>
        </w:rPr>
        <w:t>Exam 5 – Monday July 13</w:t>
      </w:r>
      <w:bookmarkStart w:id="0" w:name="_GoBack"/>
      <w:bookmarkEnd w:id="0"/>
    </w:p>
    <w:sectPr w:rsidR="001A1DA6" w:rsidRPr="001A1DA6" w:rsidSect="00E66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4"/>
    <w:rsid w:val="00010E90"/>
    <w:rsid w:val="000566A9"/>
    <w:rsid w:val="00087405"/>
    <w:rsid w:val="001008B9"/>
    <w:rsid w:val="0014694B"/>
    <w:rsid w:val="001673DA"/>
    <w:rsid w:val="001A1DA6"/>
    <w:rsid w:val="00255D45"/>
    <w:rsid w:val="003112CB"/>
    <w:rsid w:val="003C5BD0"/>
    <w:rsid w:val="006A5384"/>
    <w:rsid w:val="009E32C0"/>
    <w:rsid w:val="00B67B44"/>
    <w:rsid w:val="00B872F8"/>
    <w:rsid w:val="00C1756B"/>
    <w:rsid w:val="00C35EC4"/>
    <w:rsid w:val="00CF6C33"/>
    <w:rsid w:val="00E5140F"/>
    <w:rsid w:val="00E6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5384"/>
    <w:rPr>
      <w:color w:val="0000FF"/>
      <w:u w:val="single"/>
    </w:rPr>
  </w:style>
  <w:style w:type="paragraph" w:styleId="BalloonText">
    <w:name w:val="Balloon Text"/>
    <w:basedOn w:val="Normal"/>
    <w:semiHidden/>
    <w:rsid w:val="00146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5384"/>
    <w:rPr>
      <w:color w:val="0000FF"/>
      <w:u w:val="single"/>
    </w:rPr>
  </w:style>
  <w:style w:type="paragraph" w:styleId="BalloonText">
    <w:name w:val="Balloon Text"/>
    <w:basedOn w:val="Normal"/>
    <w:semiHidden/>
    <w:rsid w:val="00146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a.edu/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6030</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2</cp:revision>
  <cp:lastPrinted>2014-05-28T22:35:00Z</cp:lastPrinted>
  <dcterms:created xsi:type="dcterms:W3CDTF">2015-05-19T16:13:00Z</dcterms:created>
  <dcterms:modified xsi:type="dcterms:W3CDTF">2015-05-19T16:13:00Z</dcterms:modified>
</cp:coreProperties>
</file>