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8D6C87" w:rsidP="00CE1818">
      <w:pPr>
        <w:jc w:val="center"/>
        <w:rPr>
          <w:rFonts w:ascii="Arial" w:hAnsi="Arial" w:cs="Arial"/>
          <w:sz w:val="21"/>
          <w:szCs w:val="21"/>
        </w:rPr>
      </w:pPr>
      <w:r>
        <w:rPr>
          <w:rFonts w:ascii="Arial" w:hAnsi="Arial" w:cs="Arial"/>
          <w:sz w:val="21"/>
          <w:szCs w:val="21"/>
        </w:rPr>
        <w:t>Summer</w:t>
      </w:r>
      <w:r w:rsidR="00CE1818" w:rsidRPr="0016052E">
        <w:rPr>
          <w:rFonts w:ascii="Arial" w:hAnsi="Arial" w:cs="Arial"/>
          <w:sz w:val="21"/>
          <w:szCs w:val="21"/>
        </w:rPr>
        <w:t xml:space="preserve">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375BC">
        <w:rPr>
          <w:rFonts w:ascii="Arial" w:hAnsi="Arial" w:cs="Arial"/>
          <w:sz w:val="21"/>
          <w:szCs w:val="21"/>
        </w:rPr>
        <w:t>MW 9:30-10:30 am or by appointment on M/W</w:t>
      </w:r>
    </w:p>
    <w:p w:rsidR="00A470FF" w:rsidRPr="00A470FF" w:rsidRDefault="00A470FF" w:rsidP="00A470FF">
      <w:pPr>
        <w:rPr>
          <w:rFonts w:ascii="Arial" w:hAnsi="Arial" w:cs="Arial"/>
          <w:b/>
          <w:sz w:val="21"/>
          <w:szCs w:val="21"/>
        </w:rPr>
      </w:pPr>
    </w:p>
    <w:p w:rsidR="00B4713F" w:rsidRDefault="00B4713F" w:rsidP="00A470FF">
      <w:pPr>
        <w:rPr>
          <w:rFonts w:ascii="Arial" w:hAnsi="Arial" w:cs="Arial"/>
          <w:sz w:val="21"/>
          <w:szCs w:val="21"/>
        </w:rPr>
      </w:pPr>
      <w:r>
        <w:rPr>
          <w:rFonts w:ascii="Arial" w:hAnsi="Arial" w:cs="Arial"/>
          <w:b/>
          <w:sz w:val="21"/>
          <w:szCs w:val="21"/>
        </w:rPr>
        <w:t xml:space="preserve">GTA: </w:t>
      </w:r>
      <w:r w:rsidR="00557CE6" w:rsidRPr="00557CE6">
        <w:rPr>
          <w:rFonts w:ascii="Arial" w:hAnsi="Arial" w:cs="Arial"/>
          <w:sz w:val="21"/>
          <w:szCs w:val="21"/>
        </w:rPr>
        <w:t xml:space="preserve">Chance </w:t>
      </w:r>
      <w:proofErr w:type="spellStart"/>
      <w:r w:rsidR="00557CE6" w:rsidRPr="00557CE6">
        <w:rPr>
          <w:rFonts w:ascii="Arial" w:hAnsi="Arial" w:cs="Arial"/>
          <w:sz w:val="21"/>
          <w:szCs w:val="21"/>
        </w:rPr>
        <w:t>Eary</w:t>
      </w:r>
      <w:proofErr w:type="spellEnd"/>
      <w:r w:rsidR="00557CE6">
        <w:rPr>
          <w:rFonts w:ascii="Arial" w:hAnsi="Arial" w:cs="Arial"/>
          <w:sz w:val="21"/>
          <w:szCs w:val="21"/>
        </w:rPr>
        <w:t>,</w:t>
      </w:r>
      <w:r w:rsidR="00557CE6" w:rsidRPr="00557CE6">
        <w:t xml:space="preserve"> </w:t>
      </w:r>
      <w:r w:rsidR="00557CE6">
        <w:rPr>
          <w:rFonts w:ascii="Arial" w:hAnsi="Arial" w:cs="Arial"/>
          <w:sz w:val="21"/>
          <w:szCs w:val="21"/>
        </w:rPr>
        <w:t>chance.eary@mavs.uta.edu</w:t>
      </w:r>
    </w:p>
    <w:p w:rsidR="00557CE6" w:rsidRDefault="00557CE6"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Section 001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66CAD">
        <w:rPr>
          <w:rFonts w:ascii="Arial" w:hAnsi="Arial" w:cs="Arial"/>
          <w:sz w:val="21"/>
          <w:szCs w:val="21"/>
        </w:rPr>
        <w:t>MW 1-2:50</w:t>
      </w:r>
      <w:r w:rsidR="00DD5409">
        <w:rPr>
          <w:rFonts w:ascii="Arial" w:hAnsi="Arial" w:cs="Arial"/>
          <w:sz w:val="21"/>
          <w:szCs w:val="21"/>
        </w:rPr>
        <w:t xml:space="preserve"> pm, </w:t>
      </w:r>
      <w:r w:rsidR="00C66CAD">
        <w:rPr>
          <w:rFonts w:ascii="Arial" w:hAnsi="Arial" w:cs="Arial"/>
          <w:sz w:val="21"/>
          <w:szCs w:val="21"/>
        </w:rPr>
        <w:t>WH 208</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001375BC">
        <w:rPr>
          <w:rFonts w:ascii="Arial" w:hAnsi="Arial" w:cs="Arial"/>
          <w:sz w:val="21"/>
          <w:szCs w:val="21"/>
        </w:rPr>
        <w:t>JU</w:t>
      </w:r>
      <w:r w:rsidRPr="005839BA">
        <w:rPr>
          <w:rFonts w:ascii="Arial" w:hAnsi="Arial" w:cs="Arial"/>
          <w:sz w:val="21"/>
          <w:szCs w:val="21"/>
        </w:rPr>
        <w:t>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to help determine border-line grade situations.</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2A5015">
        <w:rPr>
          <w:rFonts w:ascii="Arial" w:hAnsi="Arial" w:cs="Arial"/>
          <w:sz w:val="21"/>
          <w:szCs w:val="21"/>
        </w:rPr>
        <w:t>3</w:t>
      </w:r>
      <w:r w:rsidR="00626C3B" w:rsidRPr="00626C3B">
        <w:rPr>
          <w:rFonts w:ascii="Arial" w:hAnsi="Arial" w:cs="Arial"/>
          <w:sz w:val="21"/>
          <w:szCs w:val="21"/>
        </w:rPr>
        <w:t>0% quizzes</w:t>
      </w:r>
      <w:r w:rsidR="00626C3B">
        <w:rPr>
          <w:rFonts w:ascii="Arial" w:hAnsi="Arial" w:cs="Arial"/>
          <w:sz w:val="21"/>
          <w:szCs w:val="21"/>
        </w:rPr>
        <w:t xml:space="preserve">, </w:t>
      </w:r>
      <w:r w:rsidR="00C66CAD">
        <w:rPr>
          <w:rFonts w:ascii="Arial" w:hAnsi="Arial" w:cs="Arial"/>
          <w:sz w:val="21"/>
          <w:szCs w:val="21"/>
        </w:rPr>
        <w:t>70</w:t>
      </w:r>
      <w:r w:rsidR="00626C3B" w:rsidRPr="00626C3B">
        <w:rPr>
          <w:rFonts w:ascii="Arial" w:hAnsi="Arial" w:cs="Arial"/>
          <w:sz w:val="21"/>
          <w:szCs w:val="21"/>
        </w:rPr>
        <w:t xml:space="preserve">% project </w:t>
      </w:r>
      <w:proofErr w:type="spellStart"/>
      <w:r w:rsidR="00C66CAD">
        <w:rPr>
          <w:rFonts w:ascii="Arial" w:hAnsi="Arial" w:cs="Arial"/>
          <w:sz w:val="21"/>
          <w:szCs w:val="21"/>
        </w:rPr>
        <w:t>project</w:t>
      </w:r>
      <w:proofErr w:type="spellEnd"/>
      <w:r w:rsidR="00C66CAD">
        <w:rPr>
          <w:rFonts w:ascii="Arial" w:hAnsi="Arial" w:cs="Arial"/>
          <w:sz w:val="21"/>
          <w:szCs w:val="21"/>
        </w:rPr>
        <w:t xml:space="preserve"> 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5 quizzes – they will be announced 1 week in advance. Details about the project will be announced on the second week.</w:t>
      </w:r>
      <w:r w:rsidR="00C87CA4" w:rsidRPr="002505B6">
        <w:rPr>
          <w:rFonts w:ascii="Arial" w:hAnsi="Arial" w:cs="Arial"/>
          <w:sz w:val="21"/>
          <w:szCs w:val="21"/>
        </w:rPr>
        <w:t xml:space="preserve"> </w:t>
      </w:r>
      <w:r w:rsidR="002A5015">
        <w:rPr>
          <w:rFonts w:ascii="Arial" w:hAnsi="Arial" w:cs="Arial"/>
          <w:sz w:val="21"/>
          <w:szCs w:val="21"/>
        </w:rPr>
        <w:t xml:space="preserve">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border-line grades. </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8"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426970" w:rsidRDefault="00786C2F" w:rsidP="00426970">
      <w:pPr>
        <w:keepNext/>
        <w:rPr>
          <w:rFonts w:ascii="Arial" w:hAnsi="Arial" w:cs="Arial"/>
          <w:b/>
          <w:sz w:val="21"/>
          <w:szCs w:val="21"/>
        </w:rPr>
      </w:pPr>
      <w:r w:rsidRPr="00426970">
        <w:rPr>
          <w:rFonts w:ascii="Arial" w:hAnsi="Arial" w:cs="Arial"/>
          <w:b/>
          <w:sz w:val="21"/>
          <w:szCs w:val="21"/>
        </w:rPr>
        <w:lastRenderedPageBreak/>
        <w:t>Course Schedule</w:t>
      </w:r>
    </w:p>
    <w:p w:rsidR="00426970" w:rsidRDefault="00426970" w:rsidP="00426970">
      <w:pPr>
        <w:keepNext/>
        <w:jc w:val="center"/>
        <w:rPr>
          <w:rFonts w:ascii="Arial" w:hAnsi="Arial" w:cs="Arial"/>
          <w:b/>
          <w:sz w:val="21"/>
          <w:szCs w:val="21"/>
        </w:rPr>
      </w:pPr>
    </w:p>
    <w:p w:rsidR="00426970" w:rsidRDefault="00300AF2" w:rsidP="00426970">
      <w:pPr>
        <w:keepNext/>
        <w:rPr>
          <w:rFonts w:ascii="Arial" w:hAnsi="Arial" w:cs="Arial"/>
        </w:rPr>
      </w:pPr>
      <w:r w:rsidRPr="00300AF2">
        <w:drawing>
          <wp:inline distT="0" distB="0" distL="0" distR="0">
            <wp:extent cx="4533900" cy="4010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533900" cy="4010025"/>
                    </a:xfrm>
                    <a:prstGeom prst="rect">
                      <a:avLst/>
                    </a:prstGeom>
                    <a:noFill/>
                    <a:ln w="9525">
                      <a:noFill/>
                      <a:miter lim="800000"/>
                      <a:headEnd/>
                      <a:tailEnd/>
                    </a:ln>
                  </pic:spPr>
                </pic:pic>
              </a:graphicData>
            </a:graphic>
          </wp:inline>
        </w:drawing>
      </w:r>
    </w:p>
    <w:p w:rsidR="00557CE6" w:rsidRDefault="00557CE6" w:rsidP="00426970">
      <w:pPr>
        <w:keepNext/>
        <w:rPr>
          <w:rFonts w:ascii="Arial" w:hAnsi="Arial" w:cs="Arial"/>
        </w:rPr>
      </w:pPr>
    </w:p>
    <w:p w:rsidR="00557CE6" w:rsidRDefault="00300AF2" w:rsidP="00426970">
      <w:pPr>
        <w:keepNext/>
        <w:rPr>
          <w:rFonts w:ascii="Arial" w:hAnsi="Arial" w:cs="Arial"/>
        </w:rPr>
      </w:pPr>
      <w:r w:rsidRPr="00300AF2">
        <w:drawing>
          <wp:inline distT="0" distB="0" distL="0" distR="0">
            <wp:extent cx="4533900" cy="26765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533900" cy="2676525"/>
                    </a:xfrm>
                    <a:prstGeom prst="rect">
                      <a:avLst/>
                    </a:prstGeom>
                    <a:noFill/>
                    <a:ln w="9525">
                      <a:noFill/>
                      <a:miter lim="800000"/>
                      <a:headEnd/>
                      <a:tailEnd/>
                    </a:ln>
                  </pic:spPr>
                </pic:pic>
              </a:graphicData>
            </a:graphic>
          </wp:inline>
        </w:drawing>
      </w:r>
    </w:p>
    <w:p w:rsidR="001375BC" w:rsidRDefault="001375BC"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lastRenderedPageBreak/>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AD" w:rsidRDefault="00C66CAD" w:rsidP="00141EC6">
      <w:r>
        <w:separator/>
      </w:r>
    </w:p>
  </w:endnote>
  <w:endnote w:type="continuationSeparator" w:id="0">
    <w:p w:rsidR="00C66CAD" w:rsidRDefault="00C66CAD"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AD" w:rsidRDefault="00C66CAD" w:rsidP="00141EC6">
      <w:r>
        <w:separator/>
      </w:r>
    </w:p>
  </w:footnote>
  <w:footnote w:type="continuationSeparator" w:id="0">
    <w:p w:rsidR="00C66CAD" w:rsidRDefault="00C66CAD"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91BAA"/>
    <w:rsid w:val="000E2165"/>
    <w:rsid w:val="000E5644"/>
    <w:rsid w:val="000F03EB"/>
    <w:rsid w:val="000F5224"/>
    <w:rsid w:val="00110D3C"/>
    <w:rsid w:val="00131843"/>
    <w:rsid w:val="001375BC"/>
    <w:rsid w:val="00137858"/>
    <w:rsid w:val="00141EC6"/>
    <w:rsid w:val="00155DDD"/>
    <w:rsid w:val="0016052E"/>
    <w:rsid w:val="001736E6"/>
    <w:rsid w:val="001751C4"/>
    <w:rsid w:val="00181587"/>
    <w:rsid w:val="00191A69"/>
    <w:rsid w:val="001A3E86"/>
    <w:rsid w:val="001B6EFE"/>
    <w:rsid w:val="001C08F0"/>
    <w:rsid w:val="001C53D1"/>
    <w:rsid w:val="001C79D6"/>
    <w:rsid w:val="001D11A1"/>
    <w:rsid w:val="001E1E1B"/>
    <w:rsid w:val="0020685B"/>
    <w:rsid w:val="002070A8"/>
    <w:rsid w:val="0023389B"/>
    <w:rsid w:val="00235E04"/>
    <w:rsid w:val="00241C6A"/>
    <w:rsid w:val="002505B6"/>
    <w:rsid w:val="00260741"/>
    <w:rsid w:val="0026753C"/>
    <w:rsid w:val="00277015"/>
    <w:rsid w:val="002A5015"/>
    <w:rsid w:val="002A5E61"/>
    <w:rsid w:val="002B2C70"/>
    <w:rsid w:val="002F021C"/>
    <w:rsid w:val="00300AF2"/>
    <w:rsid w:val="00316254"/>
    <w:rsid w:val="00317429"/>
    <w:rsid w:val="00330812"/>
    <w:rsid w:val="00331E75"/>
    <w:rsid w:val="003435E7"/>
    <w:rsid w:val="00384AFA"/>
    <w:rsid w:val="00393BCC"/>
    <w:rsid w:val="003A4BD5"/>
    <w:rsid w:val="003E19A6"/>
    <w:rsid w:val="003E3048"/>
    <w:rsid w:val="004166ED"/>
    <w:rsid w:val="00425855"/>
    <w:rsid w:val="00425D01"/>
    <w:rsid w:val="00426970"/>
    <w:rsid w:val="00461A15"/>
    <w:rsid w:val="00490285"/>
    <w:rsid w:val="0049097A"/>
    <w:rsid w:val="004A0025"/>
    <w:rsid w:val="004C098F"/>
    <w:rsid w:val="004C7DA8"/>
    <w:rsid w:val="004D21F8"/>
    <w:rsid w:val="004F54A2"/>
    <w:rsid w:val="005103D0"/>
    <w:rsid w:val="00523DA7"/>
    <w:rsid w:val="00543C5D"/>
    <w:rsid w:val="00545341"/>
    <w:rsid w:val="00554BE1"/>
    <w:rsid w:val="00557CE6"/>
    <w:rsid w:val="0057065D"/>
    <w:rsid w:val="005839BA"/>
    <w:rsid w:val="00593047"/>
    <w:rsid w:val="005A079A"/>
    <w:rsid w:val="005B5FCF"/>
    <w:rsid w:val="005C19DC"/>
    <w:rsid w:val="005F596B"/>
    <w:rsid w:val="005F7CEF"/>
    <w:rsid w:val="00607D4D"/>
    <w:rsid w:val="00626C3B"/>
    <w:rsid w:val="0063236F"/>
    <w:rsid w:val="006647EF"/>
    <w:rsid w:val="0067588F"/>
    <w:rsid w:val="006778C9"/>
    <w:rsid w:val="00684C58"/>
    <w:rsid w:val="00686767"/>
    <w:rsid w:val="0068711A"/>
    <w:rsid w:val="006B2E43"/>
    <w:rsid w:val="006D7AD1"/>
    <w:rsid w:val="006F18F1"/>
    <w:rsid w:val="007263A4"/>
    <w:rsid w:val="00734387"/>
    <w:rsid w:val="00741D8D"/>
    <w:rsid w:val="00744055"/>
    <w:rsid w:val="007616CC"/>
    <w:rsid w:val="00774E5C"/>
    <w:rsid w:val="00786131"/>
    <w:rsid w:val="007864FD"/>
    <w:rsid w:val="00786C2F"/>
    <w:rsid w:val="007B06DE"/>
    <w:rsid w:val="007B0CB6"/>
    <w:rsid w:val="007E310C"/>
    <w:rsid w:val="00814091"/>
    <w:rsid w:val="00866597"/>
    <w:rsid w:val="00891B7E"/>
    <w:rsid w:val="008957AE"/>
    <w:rsid w:val="008A562C"/>
    <w:rsid w:val="008A67E9"/>
    <w:rsid w:val="008A6918"/>
    <w:rsid w:val="008D03AF"/>
    <w:rsid w:val="008D53A6"/>
    <w:rsid w:val="008D6C87"/>
    <w:rsid w:val="008E1972"/>
    <w:rsid w:val="008F2ED3"/>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1483E"/>
    <w:rsid w:val="00A4213A"/>
    <w:rsid w:val="00A470FF"/>
    <w:rsid w:val="00A6406C"/>
    <w:rsid w:val="00A7500D"/>
    <w:rsid w:val="00A80B59"/>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85DD8"/>
    <w:rsid w:val="00BA079D"/>
    <w:rsid w:val="00BB103F"/>
    <w:rsid w:val="00BD4445"/>
    <w:rsid w:val="00BD4B7A"/>
    <w:rsid w:val="00BD619D"/>
    <w:rsid w:val="00BF7B93"/>
    <w:rsid w:val="00C11CE2"/>
    <w:rsid w:val="00C17FD9"/>
    <w:rsid w:val="00C4507E"/>
    <w:rsid w:val="00C54DB1"/>
    <w:rsid w:val="00C54E79"/>
    <w:rsid w:val="00C568D4"/>
    <w:rsid w:val="00C66CAD"/>
    <w:rsid w:val="00C77323"/>
    <w:rsid w:val="00C87CA4"/>
    <w:rsid w:val="00CB2C5F"/>
    <w:rsid w:val="00CB7789"/>
    <w:rsid w:val="00CD0796"/>
    <w:rsid w:val="00CD22E4"/>
    <w:rsid w:val="00CE1818"/>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4432D"/>
    <w:rsid w:val="00E545F7"/>
    <w:rsid w:val="00E76DC9"/>
    <w:rsid w:val="00E85AFD"/>
    <w:rsid w:val="00E976FF"/>
    <w:rsid w:val="00ED448F"/>
    <w:rsid w:val="00F126B1"/>
    <w:rsid w:val="00F1562E"/>
    <w:rsid w:val="00F162AA"/>
    <w:rsid w:val="00F25445"/>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proquestcombo.safaribooksonline.com.ezproxy.uta.edu/0131489062"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FD36-D3FE-4C60-A4C2-8DBEA497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14904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5</cp:revision>
  <cp:lastPrinted>2014-07-22T20:44:00Z</cp:lastPrinted>
  <dcterms:created xsi:type="dcterms:W3CDTF">2015-06-04T18:46:00Z</dcterms:created>
  <dcterms:modified xsi:type="dcterms:W3CDTF">2015-06-06T10:38:00Z</dcterms:modified>
</cp:coreProperties>
</file>