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16" w:rsidRDefault="00C6514C" w:rsidP="009F2416">
      <w:pPr>
        <w:pStyle w:val="Heading1"/>
        <w:spacing w:before="360" w:line="240" w:lineRule="auto"/>
      </w:pPr>
      <w:r w:rsidRPr="007E20D3">
        <w:rPr>
          <w:noProof/>
        </w:rPr>
        <w:drawing>
          <wp:anchor distT="0" distB="0" distL="114300" distR="114300" simplePos="0" relativeHeight="251659264" behindDoc="1" locked="0" layoutInCell="1" allowOverlap="1">
            <wp:simplePos x="0" y="0"/>
            <wp:positionH relativeFrom="column">
              <wp:posOffset>3923030</wp:posOffset>
            </wp:positionH>
            <wp:positionV relativeFrom="paragraph">
              <wp:posOffset>19050</wp:posOffset>
            </wp:positionV>
            <wp:extent cx="2201111" cy="638175"/>
            <wp:effectExtent l="0" t="0" r="8890" b="0"/>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111" cy="638175"/>
                    </a:xfrm>
                    <a:prstGeom prst="rect">
                      <a:avLst/>
                    </a:prstGeom>
                    <a:noFill/>
                    <a:ln>
                      <a:noFill/>
                    </a:ln>
                  </pic:spPr>
                </pic:pic>
              </a:graphicData>
            </a:graphic>
          </wp:anchor>
        </w:drawing>
      </w:r>
      <w:r w:rsidR="009F2416">
        <w:t>Math 1301</w:t>
      </w:r>
      <w:r w:rsidR="00C27966" w:rsidRPr="007E20D3">
        <w:t xml:space="preserve"> – </w:t>
      </w:r>
      <w:r w:rsidR="009F2416">
        <w:t>Contemporary Mathematics</w:t>
      </w:r>
    </w:p>
    <w:p w:rsidR="008825CE" w:rsidRPr="007E20D3" w:rsidRDefault="00245C38" w:rsidP="009F2416">
      <w:pPr>
        <w:pStyle w:val="Heading1"/>
        <w:spacing w:before="0" w:after="240" w:line="240" w:lineRule="auto"/>
      </w:pPr>
      <w:r>
        <w:t>Section 001</w:t>
      </w:r>
    </w:p>
    <w:p w:rsidR="001E1D62" w:rsidRPr="00D44287" w:rsidRDefault="005721ED" w:rsidP="002845B5">
      <w:pPr>
        <w:pStyle w:val="Heading2"/>
        <w:spacing w:after="60"/>
      </w:pPr>
      <w:r w:rsidRPr="00D44287">
        <w:t>Course Instructor</w:t>
      </w:r>
    </w:p>
    <w:p w:rsidR="001E1D62" w:rsidRPr="00AD631A" w:rsidRDefault="00245C38" w:rsidP="0092159C">
      <w:pPr>
        <w:spacing w:after="0"/>
      </w:pPr>
      <w:r>
        <w:t>Dr. Karl Backs</w:t>
      </w:r>
    </w:p>
    <w:p w:rsidR="00404643" w:rsidRDefault="007D0030" w:rsidP="0092159C">
      <w:pPr>
        <w:spacing w:after="0"/>
        <w:rPr>
          <w:rStyle w:val="Hyperlink"/>
        </w:rPr>
      </w:pPr>
      <w:hyperlink r:id="rId10" w:history="1">
        <w:r w:rsidR="00245C38" w:rsidRPr="00D84324">
          <w:rPr>
            <w:rStyle w:val="Hyperlink"/>
          </w:rPr>
          <w:t>kbacks@uta.edu</w:t>
        </w:r>
      </w:hyperlink>
    </w:p>
    <w:p w:rsidR="001C38ED" w:rsidRPr="00A05F66" w:rsidRDefault="001C38ED" w:rsidP="001C38ED">
      <w:pPr>
        <w:spacing w:after="0"/>
      </w:pPr>
      <w:r w:rsidRPr="00A317D9">
        <w:rPr>
          <w:rFonts w:cs="TimesNewRomanPSMT"/>
        </w:rPr>
        <w:t>The instructor will respond to email inquiries within 24-48 hours.</w:t>
      </w:r>
      <w:r>
        <w:rPr>
          <w:rFonts w:cs="TimesNewRomanPSMT"/>
        </w:rPr>
        <w:t xml:space="preserve"> </w:t>
      </w:r>
    </w:p>
    <w:p w:rsidR="00113A0D" w:rsidRDefault="00BF42F1" w:rsidP="0092159C">
      <w:pPr>
        <w:spacing w:after="0"/>
      </w:pPr>
      <w:r>
        <w:t xml:space="preserve">Mentis </w:t>
      </w:r>
      <w:r w:rsidR="00113A0D" w:rsidRPr="00AD631A">
        <w:t xml:space="preserve">Faculty Profile: </w:t>
      </w:r>
      <w:r w:rsidR="00245C38" w:rsidRPr="00E749CD">
        <w:rPr>
          <w:rFonts w:ascii="Arial" w:eastAsia="SimSun" w:hAnsi="Arial" w:cs="Arial"/>
          <w:sz w:val="16"/>
          <w:szCs w:val="16"/>
          <w:lang w:eastAsia="zh-CN"/>
        </w:rPr>
        <w:t xml:space="preserve"> </w:t>
      </w:r>
      <w:hyperlink r:id="rId11" w:history="1">
        <w:r w:rsidR="00245C38" w:rsidRPr="00E749CD">
          <w:rPr>
            <w:rStyle w:val="Hyperlink"/>
          </w:rPr>
          <w:t>https://www.uta.edu/profiles/karl-backs</w:t>
        </w:r>
      </w:hyperlink>
    </w:p>
    <w:p w:rsidR="00404643" w:rsidRDefault="00404643" w:rsidP="0092159C">
      <w:pPr>
        <w:spacing w:after="0"/>
      </w:pPr>
      <w:r>
        <w:t>Office:</w:t>
      </w:r>
      <w:r w:rsidR="00245C38">
        <w:t xml:space="preserve">  PKH 448</w:t>
      </w:r>
    </w:p>
    <w:p w:rsidR="00404643" w:rsidRDefault="00404643" w:rsidP="0092159C">
      <w:pPr>
        <w:spacing w:after="0"/>
      </w:pPr>
      <w:r>
        <w:t>Office Phone:</w:t>
      </w:r>
      <w:r w:rsidR="00245C38">
        <w:t xml:space="preserve">  817-272-7163</w:t>
      </w:r>
    </w:p>
    <w:p w:rsidR="00E87A3F" w:rsidRDefault="00113A0D" w:rsidP="0092159C">
      <w:pPr>
        <w:spacing w:after="0"/>
      </w:pPr>
      <w:r>
        <w:t>Office Hours:</w:t>
      </w:r>
      <w:r w:rsidR="00245C38">
        <w:t xml:space="preserve">   Mo, We, </w:t>
      </w:r>
      <w:proofErr w:type="gramStart"/>
      <w:r w:rsidR="00245C38">
        <w:t>Fri  11</w:t>
      </w:r>
      <w:proofErr w:type="gramEnd"/>
      <w:r w:rsidR="00245C38">
        <w:t xml:space="preserve"> am – 12 pm</w:t>
      </w:r>
    </w:p>
    <w:p w:rsidR="00B649A1" w:rsidRPr="007E20D3" w:rsidRDefault="005721ED" w:rsidP="007E20D3">
      <w:pPr>
        <w:pStyle w:val="Heading2"/>
      </w:pPr>
      <w:r w:rsidRPr="007E20D3">
        <w:t xml:space="preserve">Textbook and </w:t>
      </w:r>
      <w:r w:rsidR="00F44F34" w:rsidRPr="007E20D3">
        <w:t>Materials</w:t>
      </w:r>
    </w:p>
    <w:p w:rsidR="001E1D62" w:rsidRPr="00AD631A" w:rsidRDefault="009027C5" w:rsidP="0092159C">
      <w:pPr>
        <w:spacing w:before="60" w:after="0"/>
      </w:pPr>
      <w:r w:rsidRPr="00AD631A">
        <w:t>You have one option</w:t>
      </w:r>
      <w:r w:rsidR="007E039E" w:rsidRPr="00AD631A">
        <w:t xml:space="preserve"> for this course</w:t>
      </w:r>
      <w:r w:rsidRPr="00AD631A">
        <w:t xml:space="preserve"> and you can purchase</w:t>
      </w:r>
      <w:r w:rsidR="007E039E" w:rsidRPr="00AD631A">
        <w:t xml:space="preserve"> your i</w:t>
      </w:r>
      <w:r w:rsidRPr="00AD631A">
        <w:t>tems through the UTA Bookstore.</w:t>
      </w:r>
    </w:p>
    <w:p w:rsidR="00F44F34" w:rsidRDefault="007E039E" w:rsidP="0092159C">
      <w:pPr>
        <w:pStyle w:val="ListParagraph"/>
        <w:numPr>
          <w:ilvl w:val="0"/>
          <w:numId w:val="1"/>
        </w:numPr>
        <w:spacing w:before="120" w:after="0"/>
      </w:pPr>
      <w:r w:rsidRPr="00AD631A">
        <w:rPr>
          <w:b/>
        </w:rPr>
        <w:t xml:space="preserve">Access Code and </w:t>
      </w:r>
      <w:r w:rsidR="00F44F34" w:rsidRPr="00AD631A">
        <w:rPr>
          <w:b/>
        </w:rPr>
        <w:t>Textbook</w:t>
      </w:r>
      <w:r w:rsidRPr="00AD631A">
        <w:rPr>
          <w:b/>
        </w:rPr>
        <w:t xml:space="preserve"> Bundle</w:t>
      </w:r>
      <w:r w:rsidR="00F44F34" w:rsidRPr="00AD631A">
        <w:t xml:space="preserve">: </w:t>
      </w:r>
      <w:r w:rsidR="00671A30" w:rsidRPr="00247E6F">
        <w:rPr>
          <w:i/>
        </w:rPr>
        <w:t>A Survey of Mathematics with Applications</w:t>
      </w:r>
      <w:r w:rsidR="00671A30">
        <w:t>, 9th Ed., Angel, Abbott</w:t>
      </w:r>
      <w:r w:rsidR="00F44F34" w:rsidRPr="00AD631A">
        <w:t xml:space="preserve">, and </w:t>
      </w:r>
      <w:proofErr w:type="spellStart"/>
      <w:r w:rsidR="00671A30">
        <w:t>Runde</w:t>
      </w:r>
      <w:proofErr w:type="spellEnd"/>
      <w:r w:rsidR="00F44F34" w:rsidRPr="00AD631A">
        <w:t xml:space="preserve">, Pearson Ed. Inc., 2013. ISBN# </w:t>
      </w:r>
      <w:r w:rsidR="00EF2FC2" w:rsidRPr="00EF2FC2">
        <w:t>1323042539</w:t>
      </w:r>
      <w:r w:rsidR="00671A30">
        <w:t>; containing MLP access code</w:t>
      </w:r>
      <w:r w:rsidRPr="00AD631A">
        <w:t>.</w:t>
      </w:r>
    </w:p>
    <w:p w:rsidR="00EE6A0E" w:rsidRPr="00EE6A0E" w:rsidRDefault="00EE6A0E" w:rsidP="00EE6A0E">
      <w:pPr>
        <w:pStyle w:val="ListParagraph"/>
        <w:numPr>
          <w:ilvl w:val="0"/>
          <w:numId w:val="1"/>
        </w:numPr>
        <w:spacing w:before="120" w:after="0"/>
      </w:pPr>
      <w:r w:rsidRPr="00EE6A0E">
        <w:rPr>
          <w:rFonts w:ascii="Calibri" w:eastAsia="Calibri" w:hAnsi="Calibri" w:cs="Times New Roman"/>
          <w:b/>
        </w:rPr>
        <w:t>3”x5” Index Cards:</w:t>
      </w:r>
      <w:r w:rsidRPr="00EE6A0E">
        <w:rPr>
          <w:rFonts w:ascii="Calibri" w:eastAsia="Calibri" w:hAnsi="Calibri" w:cs="Times New Roman"/>
        </w:rPr>
        <w:t xml:space="preserve">  Each student is </w:t>
      </w:r>
      <w:r w:rsidR="00115805">
        <w:rPr>
          <w:rFonts w:ascii="Calibri" w:eastAsia="Calibri" w:hAnsi="Calibri" w:cs="Times New Roman"/>
        </w:rPr>
        <w:t>required to bring one blank index card</w:t>
      </w:r>
      <w:r w:rsidRPr="00EE6A0E">
        <w:rPr>
          <w:rFonts w:ascii="Calibri" w:eastAsia="Calibri" w:hAnsi="Calibri" w:cs="Times New Roman"/>
        </w:rPr>
        <w:t xml:space="preserve"> to each lecture </w:t>
      </w:r>
      <w:r>
        <w:rPr>
          <w:rFonts w:ascii="Calibri" w:eastAsia="Calibri" w:hAnsi="Calibri" w:cs="Times New Roman"/>
        </w:rPr>
        <w:t>class</w:t>
      </w:r>
      <w:r w:rsidRPr="00EE6A0E">
        <w:rPr>
          <w:rFonts w:ascii="Calibri" w:eastAsia="Calibri" w:hAnsi="Calibri" w:cs="Times New Roman"/>
        </w:rPr>
        <w:t>.  The index cards will be used to monitor lecture attendance and to assess short, entry/exit quizzes for bonus points on the final exam.</w:t>
      </w:r>
    </w:p>
    <w:p w:rsidR="002E32E1" w:rsidRDefault="002E32E1" w:rsidP="002E32E1">
      <w:pPr>
        <w:pStyle w:val="Heading2"/>
        <w:spacing w:after="60"/>
      </w:pPr>
      <w:r>
        <w:t>Calculator Policy</w:t>
      </w:r>
    </w:p>
    <w:p w:rsidR="002E32E1" w:rsidRDefault="002E32E1" w:rsidP="00115805">
      <w:pPr>
        <w:spacing w:after="120"/>
      </w:pPr>
      <w:r w:rsidRPr="00BD456F">
        <w:t xml:space="preserve">Additional materials include a scientific </w:t>
      </w:r>
      <w:r>
        <w:t xml:space="preserve">or graphing </w:t>
      </w:r>
      <w:r w:rsidRPr="00BD456F">
        <w:t>calculator.</w:t>
      </w:r>
      <w:r>
        <w:t xml:space="preserve">  Students may use one of the following models on </w:t>
      </w:r>
      <w:r w:rsidR="00115805">
        <w:t>homework, quizzes</w:t>
      </w:r>
      <w:r>
        <w:t xml:space="preserve">, tests and the final exam.  Your calculator </w:t>
      </w:r>
      <w:r>
        <w:rPr>
          <w:u w:val="single"/>
        </w:rPr>
        <w:t>MUST</w:t>
      </w:r>
      <w:r>
        <w:t xml:space="preserve"> be one of the following (no other type of calculator or electronic device will be allowed):</w:t>
      </w:r>
    </w:p>
    <w:p w:rsidR="002E32E1" w:rsidRDefault="002E32E1" w:rsidP="00115805">
      <w:pPr>
        <w:spacing w:after="0"/>
        <w:ind w:firstLine="720"/>
      </w:pPr>
      <w:r>
        <w:t>Scientific Models:</w:t>
      </w:r>
      <w:r>
        <w:tab/>
        <w:t xml:space="preserve">Texas Instruments 30X series:  TI-30Xa, TI-30X-IIS, </w:t>
      </w:r>
      <w:proofErr w:type="gramStart"/>
      <w:r>
        <w:t>TI</w:t>
      </w:r>
      <w:proofErr w:type="gramEnd"/>
      <w:r>
        <w:t>-30XS</w:t>
      </w:r>
    </w:p>
    <w:p w:rsidR="002E32E1" w:rsidRDefault="002E32E1" w:rsidP="00115805">
      <w:pPr>
        <w:spacing w:after="0"/>
        <w:ind w:left="2160" w:firstLine="720"/>
      </w:pPr>
      <w:r>
        <w:t>Casio fx-80’s series:  Casio fx-82M-S, Casio fx-85M-S</w:t>
      </w:r>
    </w:p>
    <w:p w:rsidR="002E32E1" w:rsidRDefault="002E32E1" w:rsidP="00115805">
      <w:pPr>
        <w:spacing w:after="0"/>
        <w:ind w:left="2160" w:firstLine="720"/>
      </w:pPr>
      <w:r>
        <w:t>Sharp EL-531 series</w:t>
      </w:r>
    </w:p>
    <w:p w:rsidR="002E32E1" w:rsidRDefault="002E32E1" w:rsidP="00115805">
      <w:pPr>
        <w:spacing w:after="0"/>
      </w:pPr>
      <w:r>
        <w:tab/>
        <w:t>Graphing Models:</w:t>
      </w:r>
      <w:r>
        <w:tab/>
      </w:r>
      <w:r w:rsidR="00600222">
        <w:t>Texas Instruments TI82, TI83</w:t>
      </w:r>
      <w:r w:rsidR="00605595">
        <w:t xml:space="preserve">plus, </w:t>
      </w:r>
      <w:r w:rsidR="00600222">
        <w:t>or TI84</w:t>
      </w:r>
      <w:r w:rsidR="00605595">
        <w:t>plus</w:t>
      </w:r>
      <w:r w:rsidR="00600222">
        <w:t xml:space="preserve"> </w:t>
      </w:r>
    </w:p>
    <w:p w:rsidR="00AF18F5" w:rsidRPr="007E20D3" w:rsidRDefault="00AF18F5" w:rsidP="007E20D3">
      <w:pPr>
        <w:pStyle w:val="Heading1"/>
      </w:pPr>
      <w:r w:rsidRPr="007E20D3">
        <w:t>Course Elements</w:t>
      </w:r>
    </w:p>
    <w:p w:rsidR="00BF42F1" w:rsidRDefault="00BF42F1" w:rsidP="00BF42F1">
      <w:pPr>
        <w:pStyle w:val="Heading2"/>
        <w:spacing w:after="60"/>
      </w:pPr>
      <w:r>
        <w:t>Scheduled Meeting Times and Locations</w:t>
      </w:r>
    </w:p>
    <w:p w:rsidR="00BF42F1" w:rsidRDefault="00BF42F1" w:rsidP="00BF42F1">
      <w:pPr>
        <w:spacing w:after="0"/>
      </w:pPr>
      <w:r>
        <w:t>Days and Times:</w:t>
      </w:r>
      <w:r w:rsidR="00245C38">
        <w:t xml:space="preserve">  </w:t>
      </w:r>
      <w:r w:rsidR="002E04F6">
        <w:t>Tu</w:t>
      </w:r>
      <w:r w:rsidR="00245C38">
        <w:t xml:space="preserve">, </w:t>
      </w:r>
      <w:proofErr w:type="spellStart"/>
      <w:proofErr w:type="gramStart"/>
      <w:r w:rsidR="002E04F6">
        <w:t>Th</w:t>
      </w:r>
      <w:bookmarkStart w:id="0" w:name="_GoBack"/>
      <w:bookmarkEnd w:id="0"/>
      <w:proofErr w:type="spellEnd"/>
      <w:r w:rsidR="00245C38">
        <w:t xml:space="preserve">  9:30</w:t>
      </w:r>
      <w:proofErr w:type="gramEnd"/>
      <w:r w:rsidR="00245C38">
        <w:t xml:space="preserve"> – 10:50 am</w:t>
      </w:r>
    </w:p>
    <w:p w:rsidR="00BF42F1" w:rsidRDefault="00BF42F1" w:rsidP="00BF42F1">
      <w:r>
        <w:t>Classroom:</w:t>
      </w:r>
      <w:r w:rsidR="00245C38">
        <w:t xml:space="preserve">  PKH 105</w:t>
      </w:r>
    </w:p>
    <w:p w:rsidR="00AD631A" w:rsidRPr="007E20D3" w:rsidRDefault="00AD631A" w:rsidP="000879E6">
      <w:pPr>
        <w:pStyle w:val="Heading2"/>
        <w:spacing w:after="60"/>
      </w:pPr>
      <w:r w:rsidRPr="007E20D3">
        <w:t>Attendance Policy</w:t>
      </w:r>
    </w:p>
    <w:p w:rsidR="00AD631A" w:rsidRPr="00BD456F" w:rsidRDefault="00E87A3F" w:rsidP="0092159C">
      <w:pPr>
        <w:spacing w:after="0"/>
        <w:rPr>
          <w:rFonts w:eastAsia="Times New Roman" w:cs="Times New Roman"/>
          <w:color w:val="000000"/>
        </w:rPr>
      </w:pPr>
      <w:r w:rsidRPr="00E87A3F">
        <w:rPr>
          <w:rFonts w:eastAsia="Times New Roman" w:cs="Times New Roman"/>
          <w:bCs/>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eastAsia="Times New Roman" w:cs="Times New Roman"/>
          <w:bCs/>
          <w:color w:val="000000"/>
        </w:rPr>
        <w:t xml:space="preserve">I have adopted the </w:t>
      </w:r>
      <w:r>
        <w:rPr>
          <w:rFonts w:eastAsia="Times New Roman" w:cs="Times New Roman"/>
          <w:bCs/>
          <w:color w:val="000000"/>
        </w:rPr>
        <w:lastRenderedPageBreak/>
        <w:t xml:space="preserve">following attendance policy.  </w:t>
      </w:r>
      <w:r w:rsidR="00AD631A" w:rsidRPr="00BD456F">
        <w:rPr>
          <w:rFonts w:eastAsia="Times New Roman" w:cs="Times New Roman"/>
          <w:bCs/>
          <w:color w:val="000000"/>
        </w:rPr>
        <w:t>Atte</w:t>
      </w:r>
      <w:r w:rsidR="00BD456F" w:rsidRPr="00BD456F">
        <w:rPr>
          <w:rFonts w:eastAsia="Times New Roman" w:cs="Times New Roman"/>
          <w:bCs/>
          <w:color w:val="000000"/>
        </w:rPr>
        <w:t>ndance will be taken daily and s</w:t>
      </w:r>
      <w:r w:rsidR="00AD631A" w:rsidRPr="00BD456F">
        <w:rPr>
          <w:rFonts w:eastAsia="Times New Roman" w:cs="Times New Roman"/>
          <w:bCs/>
          <w:color w:val="000000"/>
        </w:rPr>
        <w:t xml:space="preserve">tudents </w:t>
      </w:r>
      <w:r w:rsidR="00914A90" w:rsidRPr="00BD456F">
        <w:rPr>
          <w:rFonts w:eastAsia="Times New Roman" w:cs="Times New Roman"/>
          <w:bCs/>
          <w:color w:val="000000"/>
        </w:rPr>
        <w:t>are expected to attend class</w:t>
      </w:r>
      <w:r w:rsidR="00AD631A" w:rsidRPr="00BD456F">
        <w:rPr>
          <w:rFonts w:eastAsia="Times New Roman" w:cs="Times New Roman"/>
          <w:bCs/>
          <w:color w:val="000000"/>
        </w:rPr>
        <w:t>, be attentive, and participate in discussions/activities.</w:t>
      </w:r>
      <w:r w:rsidR="00AD631A" w:rsidRPr="00BD456F">
        <w:rPr>
          <w:rFonts w:eastAsia="Times New Roman" w:cs="Times New Roman"/>
          <w:color w:val="000000"/>
        </w:rPr>
        <w:t xml:space="preserve">   </w:t>
      </w:r>
    </w:p>
    <w:p w:rsidR="00CA3A3D" w:rsidRPr="007E20D3" w:rsidRDefault="00CA3A3D" w:rsidP="000879E6">
      <w:pPr>
        <w:pStyle w:val="Heading2"/>
        <w:spacing w:after="60"/>
      </w:pPr>
      <w:r w:rsidRPr="00BD456F">
        <w:t>Sched</w:t>
      </w:r>
      <w:r w:rsidR="00113A0D" w:rsidRPr="00BD456F">
        <w:t xml:space="preserve">ule </w:t>
      </w:r>
      <w:r w:rsidRPr="00BD456F">
        <w:t>of Lessons and Tests</w:t>
      </w:r>
    </w:p>
    <w:p w:rsidR="00113A0D" w:rsidRPr="00AD631A" w:rsidRDefault="00CA3A3D" w:rsidP="0092159C">
      <w:r w:rsidRPr="00AD631A">
        <w:t xml:space="preserve">You must complete all assignments and tests by the due dates. Due dates are listed in </w:t>
      </w:r>
      <w:r w:rsidRPr="00AD631A">
        <w:rPr>
          <w:b/>
        </w:rPr>
        <w:t>MyLabsPlus</w:t>
      </w:r>
      <w:r w:rsidR="00914A90">
        <w:rPr>
          <w:b/>
        </w:rPr>
        <w:t xml:space="preserve"> (MLP)</w:t>
      </w:r>
      <w:r w:rsidRPr="00AD631A">
        <w:t xml:space="preserve"> and also in </w:t>
      </w:r>
      <w:r w:rsidR="00952BE6">
        <w:t>the Course Schedule located in B</w:t>
      </w:r>
      <w:r w:rsidRPr="00AD631A">
        <w:t xml:space="preserve">lackboard. </w:t>
      </w:r>
      <w:r w:rsidRPr="00AD631A">
        <w:rPr>
          <w:b/>
          <w:u w:val="single"/>
        </w:rPr>
        <w:t xml:space="preserve">All </w:t>
      </w:r>
      <w:r w:rsidR="00914A90">
        <w:rPr>
          <w:b/>
          <w:u w:val="single"/>
        </w:rPr>
        <w:t xml:space="preserve">MLP </w:t>
      </w:r>
      <w:r w:rsidRPr="00AD631A">
        <w:rPr>
          <w:b/>
          <w:u w:val="single"/>
        </w:rPr>
        <w:t>deadline times are in Central Time</w:t>
      </w:r>
      <w:r w:rsidRPr="00AD631A">
        <w:t>.</w:t>
      </w:r>
    </w:p>
    <w:p w:rsidR="00AF18F5" w:rsidRPr="007E20D3" w:rsidRDefault="0026004D" w:rsidP="007E20D3">
      <w:pPr>
        <w:pStyle w:val="Heading2"/>
      </w:pPr>
      <w:r w:rsidRPr="007E20D3">
        <w:t>Grade Calculation</w:t>
      </w:r>
    </w:p>
    <w:tbl>
      <w:tblPr>
        <w:tblStyle w:val="LightGrid-Accent1"/>
        <w:tblW w:w="0" w:type="auto"/>
        <w:tblInd w:w="1665" w:type="dxa"/>
        <w:tblLook w:val="04A0" w:firstRow="1" w:lastRow="0" w:firstColumn="1" w:lastColumn="0" w:noHBand="0" w:noVBand="1"/>
      </w:tblPr>
      <w:tblGrid>
        <w:gridCol w:w="3978"/>
        <w:gridCol w:w="2070"/>
      </w:tblGrid>
      <w:tr w:rsidR="00AF18F5" w:rsidRPr="00AD631A" w:rsidTr="001F3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AD631A" w:rsidRDefault="00AF18F5" w:rsidP="00AD631A">
            <w:pPr>
              <w:jc w:val="center"/>
            </w:pPr>
            <w:r w:rsidRPr="00AD631A">
              <w:t>Homework, Tests, Exam</w:t>
            </w:r>
          </w:p>
        </w:tc>
        <w:tc>
          <w:tcPr>
            <w:tcW w:w="2070" w:type="dxa"/>
          </w:tcPr>
          <w:p w:rsidR="00AF18F5" w:rsidRPr="00AD631A" w:rsidRDefault="00AF18F5" w:rsidP="00AD631A">
            <w:pPr>
              <w:jc w:val="center"/>
              <w:cnfStyle w:val="100000000000" w:firstRow="1" w:lastRow="0" w:firstColumn="0" w:lastColumn="0" w:oddVBand="0" w:evenVBand="0" w:oddHBand="0" w:evenHBand="0" w:firstRowFirstColumn="0" w:firstRowLastColumn="0" w:lastRowFirstColumn="0" w:lastRowLastColumn="0"/>
            </w:pPr>
            <w:r w:rsidRPr="00AD631A">
              <w:t>Percent of Grade</w:t>
            </w:r>
          </w:p>
        </w:tc>
      </w:tr>
      <w:tr w:rsidR="00AF18F5" w:rsidRPr="00AD631A" w:rsidTr="001F3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1F3671" w:rsidRDefault="00AF18F5" w:rsidP="00AD631A">
            <w:pPr>
              <w:jc w:val="center"/>
              <w:rPr>
                <w:b w:val="0"/>
              </w:rPr>
            </w:pPr>
            <w:r w:rsidRPr="001F3671">
              <w:rPr>
                <w:b w:val="0"/>
              </w:rPr>
              <w:t>Homework</w:t>
            </w:r>
            <w:r w:rsidR="00CE6ADE" w:rsidRPr="001F3671">
              <w:rPr>
                <w:b w:val="0"/>
              </w:rPr>
              <w:t>/Quizzes</w:t>
            </w:r>
          </w:p>
        </w:tc>
        <w:tc>
          <w:tcPr>
            <w:tcW w:w="2070" w:type="dxa"/>
          </w:tcPr>
          <w:p w:rsidR="00AF18F5" w:rsidRPr="00AD631A" w:rsidRDefault="00AF18F5" w:rsidP="00AD631A">
            <w:pPr>
              <w:jc w:val="center"/>
              <w:cnfStyle w:val="000000100000" w:firstRow="0" w:lastRow="0" w:firstColumn="0" w:lastColumn="0" w:oddVBand="0" w:evenVBand="0" w:oddHBand="1" w:evenHBand="0" w:firstRowFirstColumn="0" w:firstRowLastColumn="0" w:lastRowFirstColumn="0" w:lastRowLastColumn="0"/>
            </w:pPr>
            <w:r w:rsidRPr="00AD631A">
              <w:t>20%</w:t>
            </w:r>
          </w:p>
        </w:tc>
      </w:tr>
      <w:tr w:rsidR="00AF18F5" w:rsidRPr="00AD631A" w:rsidTr="001F3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1F3671" w:rsidRDefault="00AF18F5" w:rsidP="00AD631A">
            <w:pPr>
              <w:jc w:val="center"/>
              <w:rPr>
                <w:b w:val="0"/>
              </w:rPr>
            </w:pPr>
            <w:r w:rsidRPr="001F3671">
              <w:rPr>
                <w:b w:val="0"/>
              </w:rPr>
              <w:t xml:space="preserve">Chapter </w:t>
            </w:r>
            <w:r w:rsidR="00CE6ADE" w:rsidRPr="001F3671">
              <w:rPr>
                <w:b w:val="0"/>
              </w:rPr>
              <w:t>Tests (Average of 3 T</w:t>
            </w:r>
            <w:r w:rsidRPr="001F3671">
              <w:rPr>
                <w:b w:val="0"/>
              </w:rPr>
              <w:t>ests)</w:t>
            </w:r>
          </w:p>
        </w:tc>
        <w:tc>
          <w:tcPr>
            <w:tcW w:w="2070" w:type="dxa"/>
          </w:tcPr>
          <w:p w:rsidR="00AF18F5" w:rsidRPr="00AD631A" w:rsidRDefault="00AF18F5" w:rsidP="00AD631A">
            <w:pPr>
              <w:jc w:val="center"/>
              <w:cnfStyle w:val="000000010000" w:firstRow="0" w:lastRow="0" w:firstColumn="0" w:lastColumn="0" w:oddVBand="0" w:evenVBand="0" w:oddHBand="0" w:evenHBand="1" w:firstRowFirstColumn="0" w:firstRowLastColumn="0" w:lastRowFirstColumn="0" w:lastRowLastColumn="0"/>
            </w:pPr>
            <w:r w:rsidRPr="00AD631A">
              <w:t>50%</w:t>
            </w:r>
          </w:p>
        </w:tc>
      </w:tr>
      <w:tr w:rsidR="00AF18F5" w:rsidRPr="00AD631A" w:rsidTr="001F3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1F3671" w:rsidRDefault="00AF18F5" w:rsidP="00AD631A">
            <w:pPr>
              <w:jc w:val="center"/>
              <w:rPr>
                <w:b w:val="0"/>
              </w:rPr>
            </w:pPr>
            <w:r w:rsidRPr="001F3671">
              <w:rPr>
                <w:b w:val="0"/>
              </w:rPr>
              <w:t>Comprehensive Final Exam</w:t>
            </w:r>
          </w:p>
        </w:tc>
        <w:tc>
          <w:tcPr>
            <w:tcW w:w="2070" w:type="dxa"/>
          </w:tcPr>
          <w:p w:rsidR="00AF18F5" w:rsidRPr="00AD631A" w:rsidRDefault="00914A90" w:rsidP="00AD631A">
            <w:pPr>
              <w:jc w:val="center"/>
              <w:cnfStyle w:val="000000100000" w:firstRow="0" w:lastRow="0" w:firstColumn="0" w:lastColumn="0" w:oddVBand="0" w:evenVBand="0" w:oddHBand="1" w:evenHBand="0" w:firstRowFirstColumn="0" w:firstRowLastColumn="0" w:lastRowFirstColumn="0" w:lastRowLastColumn="0"/>
            </w:pPr>
            <w:r>
              <w:t>30</w:t>
            </w:r>
            <w:r w:rsidR="00AF18F5" w:rsidRPr="00AD631A">
              <w:t>%</w:t>
            </w:r>
          </w:p>
        </w:tc>
      </w:tr>
      <w:tr w:rsidR="00AF18F5" w:rsidRPr="00AD631A" w:rsidTr="001F36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AF18F5" w:rsidRPr="001F3671" w:rsidRDefault="00AF18F5" w:rsidP="00AD631A">
            <w:pPr>
              <w:jc w:val="center"/>
              <w:rPr>
                <w:b w:val="0"/>
              </w:rPr>
            </w:pPr>
            <w:r w:rsidRPr="001F3671">
              <w:rPr>
                <w:b w:val="0"/>
              </w:rPr>
              <w:t>Total:</w:t>
            </w:r>
          </w:p>
        </w:tc>
        <w:tc>
          <w:tcPr>
            <w:tcW w:w="2070" w:type="dxa"/>
          </w:tcPr>
          <w:p w:rsidR="00AF18F5" w:rsidRPr="00AD631A" w:rsidRDefault="00AF18F5" w:rsidP="00AD631A">
            <w:pPr>
              <w:jc w:val="center"/>
              <w:cnfStyle w:val="000000010000" w:firstRow="0" w:lastRow="0" w:firstColumn="0" w:lastColumn="0" w:oddVBand="0" w:evenVBand="0" w:oddHBand="0" w:evenHBand="1" w:firstRowFirstColumn="0" w:firstRowLastColumn="0" w:lastRowFirstColumn="0" w:lastRowLastColumn="0"/>
            </w:pPr>
            <w:r w:rsidRPr="00AD631A">
              <w:t>100%</w:t>
            </w:r>
          </w:p>
        </w:tc>
      </w:tr>
    </w:tbl>
    <w:p w:rsidR="00113A0D" w:rsidRPr="008F5281" w:rsidRDefault="00113A0D" w:rsidP="00113A0D">
      <w:pPr>
        <w:pStyle w:val="ListParagraph"/>
        <w:spacing w:line="240" w:lineRule="auto"/>
        <w:rPr>
          <w:b/>
          <w:color w:val="000000"/>
          <w:sz w:val="12"/>
          <w:szCs w:val="12"/>
        </w:rPr>
      </w:pPr>
    </w:p>
    <w:p w:rsidR="00CE6ADE" w:rsidRPr="00AD631A" w:rsidRDefault="00CE6ADE" w:rsidP="0092159C">
      <w:pPr>
        <w:pStyle w:val="ListParagraph"/>
        <w:numPr>
          <w:ilvl w:val="0"/>
          <w:numId w:val="7"/>
        </w:numPr>
        <w:rPr>
          <w:b/>
          <w:color w:val="000000"/>
        </w:rPr>
      </w:pPr>
      <w:r w:rsidRPr="00AD631A">
        <w:rPr>
          <w:color w:val="000000"/>
        </w:rPr>
        <w:t>Two of the lowest homework grades and one quiz grade will be dropped at the end of the semester.</w:t>
      </w:r>
    </w:p>
    <w:p w:rsidR="00AF4B4C" w:rsidRDefault="00AF4B4C" w:rsidP="00AF4B4C">
      <w:pPr>
        <w:pStyle w:val="ListParagraph"/>
        <w:numPr>
          <w:ilvl w:val="0"/>
          <w:numId w:val="40"/>
        </w:numPr>
        <w:rPr>
          <w:b/>
          <w:color w:val="000000"/>
        </w:rPr>
      </w:pPr>
      <w:r>
        <w:rPr>
          <w:color w:val="000000"/>
        </w:rPr>
        <w:t xml:space="preserve">In the event you are not satisfied with one of your three chapter exam scores, you may ask your instructor for a retake.  Only ONE retake on a chapter exam of your choosing will be granted. Please reference the course schedule for specific retake dates.  </w:t>
      </w:r>
      <w:r>
        <w:rPr>
          <w:rFonts w:ascii="Calibri" w:eastAsia="Calibri" w:hAnsi="Calibri" w:cs="Times New Roman"/>
          <w:color w:val="000000"/>
        </w:rPr>
        <w:t>You MUST solicit and receive approval from your instructor prior to taking your ONE retake exam.</w:t>
      </w:r>
      <w:r>
        <w:rPr>
          <w:color w:val="000000"/>
        </w:rPr>
        <w:t xml:space="preserve">  All retakes must be completed prior to the final exam.</w:t>
      </w:r>
    </w:p>
    <w:p w:rsidR="009502CE" w:rsidRPr="007E20D3" w:rsidRDefault="009502CE" w:rsidP="000879E6">
      <w:pPr>
        <w:pStyle w:val="Heading2"/>
        <w:spacing w:after="60"/>
      </w:pPr>
      <w:r w:rsidRPr="007E20D3">
        <w:t>Grading Scale</w:t>
      </w:r>
    </w:p>
    <w:p w:rsidR="00C60EB7" w:rsidRPr="00AD631A" w:rsidRDefault="00C60EB7" w:rsidP="00AD631A">
      <w:pPr>
        <w:spacing w:line="240" w:lineRule="auto"/>
      </w:pPr>
      <w:r w:rsidRPr="00AD631A">
        <w:t>Grades will be computed based on the following distribution.  Grades are rounded up accordingly.</w:t>
      </w:r>
    </w:p>
    <w:tbl>
      <w:tblPr>
        <w:tblStyle w:val="LightGrid-Accent1"/>
        <w:tblW w:w="0" w:type="auto"/>
        <w:jc w:val="center"/>
        <w:tblInd w:w="-261" w:type="dxa"/>
        <w:tblLook w:val="04A0" w:firstRow="1" w:lastRow="0" w:firstColumn="1" w:lastColumn="0" w:noHBand="0" w:noVBand="1"/>
      </w:tblPr>
      <w:tblGrid>
        <w:gridCol w:w="1989"/>
        <w:gridCol w:w="630"/>
      </w:tblGrid>
      <w:tr w:rsidR="009502CE" w:rsidRPr="00AD631A" w:rsidTr="0026004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90</w:t>
            </w:r>
            <w:r w:rsidR="009502CE" w:rsidRPr="00487F1C">
              <w:t xml:space="preserve"> — 100%</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100000000000" w:firstRow="1" w:lastRow="0" w:firstColumn="0" w:lastColumn="0" w:oddVBand="0" w:evenVBand="0" w:oddHBand="0" w:evenHBand="0" w:firstRowFirstColumn="0" w:firstRowLastColumn="0" w:lastRowFirstColumn="0" w:lastRowLastColumn="0"/>
              <w:rPr>
                <w:b w:val="0"/>
              </w:rPr>
            </w:pPr>
            <w:r w:rsidRPr="00487F1C">
              <w:t>A</w:t>
            </w:r>
          </w:p>
        </w:tc>
      </w:tr>
      <w:tr w:rsidR="009502CE" w:rsidRPr="00AD631A"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80</w:t>
            </w:r>
            <w:r w:rsidR="009502CE" w:rsidRPr="00487F1C">
              <w:t xml:space="preserve"> — 89%</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100000" w:firstRow="0" w:lastRow="0" w:firstColumn="0" w:lastColumn="0" w:oddVBand="0" w:evenVBand="0" w:oddHBand="1" w:evenHBand="0" w:firstRowFirstColumn="0" w:firstRowLastColumn="0" w:lastRowFirstColumn="0" w:lastRowLastColumn="0"/>
            </w:pPr>
            <w:r w:rsidRPr="00487F1C">
              <w:t>B</w:t>
            </w:r>
          </w:p>
        </w:tc>
      </w:tr>
      <w:tr w:rsidR="009502CE" w:rsidRPr="00AD631A"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70</w:t>
            </w:r>
            <w:r w:rsidR="009502CE" w:rsidRPr="00487F1C">
              <w:t xml:space="preserve"> — 79%</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010000" w:firstRow="0" w:lastRow="0" w:firstColumn="0" w:lastColumn="0" w:oddVBand="0" w:evenVBand="0" w:oddHBand="0" w:evenHBand="1" w:firstRowFirstColumn="0" w:firstRowLastColumn="0" w:lastRowFirstColumn="0" w:lastRowLastColumn="0"/>
            </w:pPr>
            <w:r w:rsidRPr="00487F1C">
              <w:t>C</w:t>
            </w:r>
          </w:p>
        </w:tc>
      </w:tr>
      <w:tr w:rsidR="009502CE" w:rsidRPr="00AD631A" w:rsidTr="00260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60</w:t>
            </w:r>
            <w:r w:rsidR="009502CE" w:rsidRPr="00487F1C">
              <w:t xml:space="preserve"> — 69%</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100000" w:firstRow="0" w:lastRow="0" w:firstColumn="0" w:lastColumn="0" w:oddVBand="0" w:evenVBand="0" w:oddHBand="1" w:evenHBand="0" w:firstRowFirstColumn="0" w:firstRowLastColumn="0" w:lastRowFirstColumn="0" w:lastRowLastColumn="0"/>
            </w:pPr>
            <w:r w:rsidRPr="00487F1C">
              <w:t>D</w:t>
            </w:r>
          </w:p>
        </w:tc>
      </w:tr>
      <w:tr w:rsidR="009502CE" w:rsidRPr="00AD631A" w:rsidTr="0026004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Borders>
              <w:top w:val="none" w:sz="0" w:space="0" w:color="auto"/>
              <w:left w:val="none" w:sz="0" w:space="0" w:color="auto"/>
              <w:bottom w:val="none" w:sz="0" w:space="0" w:color="auto"/>
              <w:right w:val="none" w:sz="0" w:space="0" w:color="auto"/>
            </w:tcBorders>
          </w:tcPr>
          <w:p w:rsidR="009502CE" w:rsidRPr="00487F1C" w:rsidRDefault="00D40BC6" w:rsidP="00AD631A">
            <w:pPr>
              <w:jc w:val="center"/>
              <w:rPr>
                <w:b w:val="0"/>
              </w:rPr>
            </w:pPr>
            <w:r w:rsidRPr="00487F1C">
              <w:t>Below 60</w:t>
            </w:r>
            <w:r w:rsidR="009502CE" w:rsidRPr="00487F1C">
              <w:t>%</w:t>
            </w:r>
          </w:p>
        </w:tc>
        <w:tc>
          <w:tcPr>
            <w:tcW w:w="630" w:type="dxa"/>
            <w:tcBorders>
              <w:top w:val="none" w:sz="0" w:space="0" w:color="auto"/>
              <w:left w:val="none" w:sz="0" w:space="0" w:color="auto"/>
              <w:bottom w:val="none" w:sz="0" w:space="0" w:color="auto"/>
              <w:right w:val="none" w:sz="0" w:space="0" w:color="auto"/>
            </w:tcBorders>
          </w:tcPr>
          <w:p w:rsidR="009502CE" w:rsidRPr="00487F1C" w:rsidRDefault="009502CE" w:rsidP="00AD631A">
            <w:pPr>
              <w:jc w:val="center"/>
              <w:cnfStyle w:val="000000010000" w:firstRow="0" w:lastRow="0" w:firstColumn="0" w:lastColumn="0" w:oddVBand="0" w:evenVBand="0" w:oddHBand="0" w:evenHBand="1" w:firstRowFirstColumn="0" w:firstRowLastColumn="0" w:lastRowFirstColumn="0" w:lastRowLastColumn="0"/>
            </w:pPr>
            <w:r w:rsidRPr="00487F1C">
              <w:t>F</w:t>
            </w:r>
          </w:p>
        </w:tc>
      </w:tr>
    </w:tbl>
    <w:p w:rsidR="009E2978" w:rsidRPr="009E2978" w:rsidRDefault="009E2978" w:rsidP="009E2978">
      <w:pPr>
        <w:keepNext/>
        <w:keepLines/>
        <w:spacing w:before="200" w:after="60"/>
        <w:outlineLvl w:val="1"/>
        <w:rPr>
          <w:rFonts w:ascii="Cambria" w:eastAsia="Times New Roman" w:hAnsi="Cambria" w:cs="Times New Roman"/>
          <w:b/>
          <w:bCs/>
          <w:color w:val="F58026" w:themeColor="background2"/>
          <w:sz w:val="26"/>
          <w:szCs w:val="26"/>
        </w:rPr>
      </w:pPr>
      <w:r w:rsidRPr="009E2978">
        <w:rPr>
          <w:rFonts w:ascii="Cambria" w:eastAsia="Times New Roman" w:hAnsi="Cambria" w:cs="Times New Roman"/>
          <w:b/>
          <w:bCs/>
          <w:color w:val="F58026" w:themeColor="background2"/>
          <w:sz w:val="26"/>
          <w:szCs w:val="26"/>
        </w:rPr>
        <w:t>Learning Resource Center</w:t>
      </w:r>
      <w:r w:rsidR="005627EC">
        <w:rPr>
          <w:rFonts w:ascii="Cambria" w:eastAsia="Times New Roman" w:hAnsi="Cambria" w:cs="Times New Roman"/>
          <w:b/>
          <w:bCs/>
          <w:color w:val="F58026" w:themeColor="background2"/>
          <w:sz w:val="26"/>
          <w:szCs w:val="26"/>
        </w:rPr>
        <w:t xml:space="preserve"> – Mathematics Emporium</w:t>
      </w:r>
    </w:p>
    <w:p w:rsidR="009E2978" w:rsidRPr="00D017E9" w:rsidRDefault="009E2978" w:rsidP="009E2978">
      <w:pPr>
        <w:spacing w:after="0"/>
        <w:rPr>
          <w:rFonts w:ascii="Calibri" w:eastAsia="Calibri" w:hAnsi="Calibri" w:cs="Times New Roman"/>
          <w:color w:val="DB5353"/>
          <w:u w:val="single"/>
        </w:rPr>
      </w:pPr>
      <w:r>
        <w:rPr>
          <w:rFonts w:ascii="Calibri" w:eastAsia="Calibri" w:hAnsi="Calibri" w:cs="Times New Roman"/>
        </w:rPr>
        <w:t xml:space="preserve">Email:  </w:t>
      </w:r>
      <w:hyperlink r:id="rId12" w:history="1">
        <w:r w:rsidRPr="009E2978">
          <w:rPr>
            <w:rStyle w:val="Hyperlink"/>
            <w:rFonts w:ascii="Calibri" w:eastAsia="Calibri" w:hAnsi="Calibri" w:cs="Times New Roman"/>
            <w:color w:val="CA5C09" w:themeColor="background2" w:themeShade="BF"/>
          </w:rPr>
          <w:t>mathemporium@uta.edu</w:t>
        </w:r>
      </w:hyperlink>
    </w:p>
    <w:p w:rsidR="009E2978" w:rsidRDefault="009E2978" w:rsidP="009E2978">
      <w:pPr>
        <w:spacing w:after="0"/>
        <w:rPr>
          <w:rFonts w:ascii="Calibri" w:eastAsia="Calibri" w:hAnsi="Calibri" w:cs="Times New Roman"/>
          <w:color w:val="DB5353"/>
        </w:rPr>
      </w:pPr>
      <w:r>
        <w:rPr>
          <w:rFonts w:ascii="Calibri" w:eastAsia="Calibri" w:hAnsi="Calibri" w:cs="Times New Roman"/>
        </w:rPr>
        <w:t xml:space="preserve">Website:  </w:t>
      </w:r>
      <w:hyperlink r:id="rId13" w:history="1">
        <w:r w:rsidRPr="009E2978">
          <w:rPr>
            <w:rStyle w:val="Hyperlink"/>
            <w:rFonts w:ascii="Calibri" w:eastAsia="Calibri" w:hAnsi="Calibri" w:cs="Times New Roman"/>
            <w:color w:val="CA5C09" w:themeColor="background2" w:themeShade="BF"/>
          </w:rPr>
          <w:t>http://www.uta.edu/math/emporium/</w:t>
        </w:r>
      </w:hyperlink>
    </w:p>
    <w:p w:rsidR="009E2978" w:rsidRDefault="009E2978" w:rsidP="009E2978">
      <w:r>
        <w:rPr>
          <w:rFonts w:ascii="Calibri" w:eastAsia="Calibri" w:hAnsi="Calibri" w:cs="Times New Roman"/>
        </w:rPr>
        <w:t xml:space="preserve">Facebook:   </w:t>
      </w:r>
      <w:hyperlink r:id="rId14" w:history="1">
        <w:r w:rsidRPr="009E2978">
          <w:rPr>
            <w:rStyle w:val="Hyperlink"/>
            <w:rFonts w:ascii="Calibri" w:eastAsia="Calibri" w:hAnsi="Calibri" w:cs="Times New Roman"/>
            <w:color w:val="CA5C09" w:themeColor="background2" w:themeShade="BF"/>
          </w:rPr>
          <w:t>https://www.facebook.com/pages/UTA-Math-Emporium/460329394127443</w:t>
        </w:r>
      </w:hyperlink>
    </w:p>
    <w:p w:rsidR="00CE6ADE" w:rsidRPr="007E20D3" w:rsidRDefault="00CE6ADE" w:rsidP="000879E6">
      <w:pPr>
        <w:pStyle w:val="Heading2"/>
        <w:spacing w:after="60"/>
      </w:pPr>
      <w:r w:rsidRPr="007E20D3">
        <w:t>Homework and Quizzes</w:t>
      </w:r>
    </w:p>
    <w:p w:rsidR="00C60EB7" w:rsidRPr="00AD631A" w:rsidRDefault="00D400CB" w:rsidP="000879E6">
      <w:pPr>
        <w:spacing w:after="120"/>
        <w:rPr>
          <w:bCs/>
          <w:color w:val="000000"/>
        </w:rPr>
      </w:pPr>
      <w:r>
        <w:rPr>
          <w:bCs/>
          <w:color w:val="000000"/>
        </w:rPr>
        <w:t>All h</w:t>
      </w:r>
      <w:r w:rsidR="00CE6ADE" w:rsidRPr="00AD631A">
        <w:rPr>
          <w:bCs/>
          <w:color w:val="000000"/>
        </w:rPr>
        <w:t xml:space="preserve">omework and </w:t>
      </w:r>
      <w:r w:rsidR="00914A90">
        <w:rPr>
          <w:bCs/>
          <w:color w:val="000000"/>
        </w:rPr>
        <w:t xml:space="preserve">some </w:t>
      </w:r>
      <w:r w:rsidR="00CE6ADE" w:rsidRPr="00AD631A">
        <w:rPr>
          <w:bCs/>
          <w:color w:val="000000"/>
        </w:rPr>
        <w:t>quizzes will be assigned in MyLabsPlus.  (</w:t>
      </w:r>
      <w:hyperlink r:id="rId15" w:history="1">
        <w:r w:rsidR="00C1064B" w:rsidRPr="00AD631A">
          <w:rPr>
            <w:rStyle w:val="Hyperlink"/>
            <w:bCs/>
          </w:rPr>
          <w:t>www.uta.mylabsplus.com</w:t>
        </w:r>
      </w:hyperlink>
      <w:r w:rsidR="00CE6ADE" w:rsidRPr="00AD631A">
        <w:rPr>
          <w:bCs/>
          <w:color w:val="000000"/>
        </w:rPr>
        <w:t>)</w:t>
      </w:r>
      <w:r w:rsidR="00C1064B" w:rsidRPr="00AD631A">
        <w:rPr>
          <w:bCs/>
          <w:color w:val="000000"/>
          <w:sz w:val="20"/>
          <w:szCs w:val="20"/>
        </w:rPr>
        <w:t xml:space="preserve"> </w:t>
      </w:r>
      <w:r w:rsidR="009E5044" w:rsidRPr="00AD631A">
        <w:rPr>
          <w:bCs/>
          <w:color w:val="000000"/>
          <w:sz w:val="20"/>
          <w:szCs w:val="20"/>
        </w:rPr>
        <w:t xml:space="preserve"> </w:t>
      </w:r>
      <w:proofErr w:type="gramStart"/>
      <w:r w:rsidR="00C1064B" w:rsidRPr="00AD631A">
        <w:rPr>
          <w:bCs/>
          <w:color w:val="000000"/>
        </w:rPr>
        <w:t>All</w:t>
      </w:r>
      <w:proofErr w:type="gramEnd"/>
      <w:r w:rsidR="00C1064B" w:rsidRPr="00AD631A">
        <w:rPr>
          <w:bCs/>
          <w:color w:val="000000"/>
        </w:rPr>
        <w:t xml:space="preserve"> </w:t>
      </w:r>
      <w:r w:rsidR="00914A90">
        <w:rPr>
          <w:bCs/>
          <w:color w:val="000000"/>
        </w:rPr>
        <w:t xml:space="preserve">electronic </w:t>
      </w:r>
      <w:r w:rsidR="00C1064B" w:rsidRPr="00AD631A">
        <w:rPr>
          <w:bCs/>
          <w:color w:val="000000"/>
        </w:rPr>
        <w:t>homework and quiz assignments are available to you on the first class day.</w:t>
      </w:r>
      <w:r w:rsidR="00830EA9" w:rsidRPr="00830EA9">
        <w:rPr>
          <w:rFonts w:cs="TimesNewRomanPSMT"/>
        </w:rPr>
        <w:t xml:space="preserve"> </w:t>
      </w:r>
      <w:r w:rsidR="00830EA9" w:rsidRPr="00A317D9">
        <w:rPr>
          <w:rFonts w:cs="TimesNewRomanPSMT"/>
        </w:rPr>
        <w:t>The automated system will provide feedback on assignments immediately upon submission.</w:t>
      </w:r>
    </w:p>
    <w:p w:rsidR="00CE6ADE" w:rsidRPr="00AD631A" w:rsidRDefault="00CE6ADE" w:rsidP="0092159C">
      <w:pPr>
        <w:pStyle w:val="ListParagraph"/>
        <w:numPr>
          <w:ilvl w:val="0"/>
          <w:numId w:val="7"/>
        </w:numPr>
        <w:rPr>
          <w:bCs/>
          <w:color w:val="000000"/>
        </w:rPr>
      </w:pPr>
      <w:r w:rsidRPr="00AD631A">
        <w:rPr>
          <w:b/>
          <w:bCs/>
          <w:color w:val="000000"/>
        </w:rPr>
        <w:t xml:space="preserve">NO late homework or quizzes will be accepted, </w:t>
      </w:r>
      <w:r w:rsidRPr="00AD631A">
        <w:rPr>
          <w:bCs/>
          <w:color w:val="000000"/>
        </w:rPr>
        <w:t xml:space="preserve">so watch the due dates on the MyLabsPlus calendar.  You will receive a zero for any assignments not submitted.  </w:t>
      </w:r>
    </w:p>
    <w:p w:rsidR="00CE6ADE" w:rsidRDefault="00CE6ADE" w:rsidP="0092159C">
      <w:pPr>
        <w:pStyle w:val="ListParagraph"/>
        <w:numPr>
          <w:ilvl w:val="0"/>
          <w:numId w:val="7"/>
        </w:numPr>
        <w:rPr>
          <w:bCs/>
          <w:color w:val="000000"/>
        </w:rPr>
      </w:pPr>
      <w:r w:rsidRPr="00AD631A">
        <w:rPr>
          <w:bCs/>
          <w:color w:val="000000"/>
        </w:rPr>
        <w:t>Homework assignments are set for unlimited access up until the due date and you have 3 attempts per question, however you only have two attem</w:t>
      </w:r>
      <w:r w:rsidR="000A7E99">
        <w:rPr>
          <w:bCs/>
          <w:color w:val="000000"/>
        </w:rPr>
        <w:t>pts at each quiz which have a 45</w:t>
      </w:r>
      <w:r w:rsidRPr="00AD631A">
        <w:rPr>
          <w:bCs/>
          <w:color w:val="000000"/>
        </w:rPr>
        <w:t xml:space="preserve"> minute time limit and must be completed once opened.  Quizzes cannot be saved and resumed later.  </w:t>
      </w:r>
    </w:p>
    <w:p w:rsidR="00914A90" w:rsidRPr="00AD631A" w:rsidRDefault="00914A90" w:rsidP="0092159C">
      <w:pPr>
        <w:pStyle w:val="ListParagraph"/>
        <w:numPr>
          <w:ilvl w:val="0"/>
          <w:numId w:val="7"/>
        </w:numPr>
        <w:rPr>
          <w:bCs/>
          <w:color w:val="000000"/>
        </w:rPr>
      </w:pPr>
      <w:r>
        <w:rPr>
          <w:bCs/>
          <w:color w:val="000000"/>
        </w:rPr>
        <w:lastRenderedPageBreak/>
        <w:t>You may also have in-class paper quizzes and assessments.  Please be prepared for class</w:t>
      </w:r>
      <w:r w:rsidR="00563D36">
        <w:rPr>
          <w:bCs/>
          <w:color w:val="000000"/>
        </w:rPr>
        <w:t xml:space="preserve"> as these quizzes may or may not be announced in advance.</w:t>
      </w:r>
    </w:p>
    <w:p w:rsidR="00CE6ADE" w:rsidRDefault="00CE6ADE" w:rsidP="0092159C">
      <w:pPr>
        <w:pStyle w:val="ListParagraph"/>
        <w:numPr>
          <w:ilvl w:val="0"/>
          <w:numId w:val="7"/>
        </w:numPr>
        <w:rPr>
          <w:bCs/>
          <w:color w:val="000000"/>
        </w:rPr>
      </w:pPr>
      <w:r w:rsidRPr="00AD631A">
        <w:rPr>
          <w:bCs/>
          <w:color w:val="000000"/>
        </w:rPr>
        <w:t xml:space="preserve">All homework assignments contain learning aids to help you through the material.  Be careful not to become overly dependent on these aids or you may not perform well on the exams.  </w:t>
      </w:r>
      <w:r w:rsidR="00685C68" w:rsidRPr="00AD631A">
        <w:rPr>
          <w:bCs/>
          <w:color w:val="000000"/>
        </w:rPr>
        <w:t xml:space="preserve">You have three chances at a question per attempt.  To gain access to the next attempt once a question is marked wrong; simply select the “similar exercise” button at the bottom of the homework screen.  </w:t>
      </w:r>
      <w:r w:rsidRPr="00AD631A">
        <w:rPr>
          <w:bCs/>
          <w:color w:val="000000"/>
        </w:rPr>
        <w:t xml:space="preserve">Quizzes are designed to check your knowledge retention and therefore do not contain the learning aids except in review mode once the quiz has been submitted.  </w:t>
      </w:r>
    </w:p>
    <w:p w:rsidR="00D400CB" w:rsidRPr="00D400CB" w:rsidRDefault="00D400CB" w:rsidP="0092159C">
      <w:pPr>
        <w:pStyle w:val="ListParagraph"/>
        <w:numPr>
          <w:ilvl w:val="0"/>
          <w:numId w:val="7"/>
        </w:numPr>
        <w:spacing w:after="0"/>
        <w:rPr>
          <w:bCs/>
          <w:color w:val="000000"/>
        </w:rPr>
      </w:pPr>
      <w:r w:rsidRPr="00D400CB">
        <w:rPr>
          <w:bCs/>
          <w:color w:val="000000"/>
        </w:rPr>
        <w:t xml:space="preserve">A Lockdown program for your browser is required for all </w:t>
      </w:r>
      <w:r w:rsidR="00563D36">
        <w:rPr>
          <w:bCs/>
          <w:color w:val="000000"/>
        </w:rPr>
        <w:t xml:space="preserve">electronic </w:t>
      </w:r>
      <w:r w:rsidRPr="00D400CB">
        <w:rPr>
          <w:bCs/>
          <w:color w:val="000000"/>
        </w:rPr>
        <w:t>quizzes.  Be sure that you either</w:t>
      </w:r>
      <w:r w:rsidR="00952BE6">
        <w:rPr>
          <w:bCs/>
          <w:color w:val="000000"/>
        </w:rPr>
        <w:t>,</w:t>
      </w:r>
      <w:r w:rsidRPr="00D400CB">
        <w:rPr>
          <w:bCs/>
          <w:color w:val="000000"/>
        </w:rPr>
        <w:t xml:space="preserve"> complete your </w:t>
      </w:r>
      <w:r w:rsidR="00563D36">
        <w:rPr>
          <w:bCs/>
          <w:color w:val="000000"/>
        </w:rPr>
        <w:t xml:space="preserve">electronic </w:t>
      </w:r>
      <w:r w:rsidRPr="00D400CB">
        <w:rPr>
          <w:bCs/>
          <w:color w:val="000000"/>
        </w:rPr>
        <w:t xml:space="preserve">quizzes in the Math </w:t>
      </w:r>
      <w:r w:rsidR="005627EC">
        <w:rPr>
          <w:bCs/>
          <w:color w:val="000000"/>
        </w:rPr>
        <w:t xml:space="preserve">Emporium </w:t>
      </w:r>
      <w:r w:rsidRPr="00D400CB">
        <w:rPr>
          <w:bCs/>
          <w:color w:val="000000"/>
        </w:rPr>
        <w:t>Computer Lab</w:t>
      </w:r>
      <w:r w:rsidR="00952BE6">
        <w:rPr>
          <w:bCs/>
          <w:color w:val="000000"/>
        </w:rPr>
        <w:t>,</w:t>
      </w:r>
      <w:r w:rsidRPr="00D400CB">
        <w:rPr>
          <w:bCs/>
          <w:color w:val="000000"/>
        </w:rPr>
        <w:t xml:space="preserve"> or that you have administrative rights to the computer you are using in order to install this program.  The program is a free download and easily installed through the Browser Check.</w:t>
      </w:r>
    </w:p>
    <w:p w:rsidR="00487F1C" w:rsidRDefault="00CE6ADE" w:rsidP="0092159C">
      <w:pPr>
        <w:pStyle w:val="ListParagraph"/>
        <w:numPr>
          <w:ilvl w:val="0"/>
          <w:numId w:val="7"/>
        </w:numPr>
        <w:rPr>
          <w:bCs/>
          <w:color w:val="000000"/>
        </w:rPr>
      </w:pPr>
      <w:r w:rsidRPr="00AD631A">
        <w:rPr>
          <w:bCs/>
          <w:color w:val="000000"/>
        </w:rPr>
        <w:t>If you have trouble completing the assignments, please seek som</w:t>
      </w:r>
      <w:r w:rsidR="00685C68" w:rsidRPr="00AD631A">
        <w:rPr>
          <w:bCs/>
          <w:color w:val="000000"/>
        </w:rPr>
        <w:t>e form of tutoring and</w:t>
      </w:r>
      <w:r w:rsidR="007E20D3">
        <w:rPr>
          <w:bCs/>
          <w:color w:val="000000"/>
        </w:rPr>
        <w:t xml:space="preserve">/or see your instructor </w:t>
      </w:r>
      <w:r w:rsidRPr="00AD631A">
        <w:rPr>
          <w:bCs/>
          <w:color w:val="000000"/>
        </w:rPr>
        <w:t>for assistance.</w:t>
      </w:r>
    </w:p>
    <w:p w:rsidR="004D7A9B" w:rsidRPr="007E20D3" w:rsidRDefault="004D7A9B" w:rsidP="000879E6">
      <w:pPr>
        <w:pStyle w:val="Heading2"/>
        <w:spacing w:after="60"/>
      </w:pPr>
      <w:r w:rsidRPr="007E20D3">
        <w:t>Tests</w:t>
      </w:r>
    </w:p>
    <w:p w:rsidR="00C60EB7" w:rsidRPr="00AD631A" w:rsidRDefault="004D7A9B" w:rsidP="000879E6">
      <w:pPr>
        <w:spacing w:after="120"/>
        <w:rPr>
          <w:bCs/>
          <w:color w:val="000000"/>
        </w:rPr>
      </w:pPr>
      <w:r w:rsidRPr="00AD631A">
        <w:rPr>
          <w:bCs/>
          <w:color w:val="000000"/>
        </w:rPr>
        <w:t>There will be three online proctored chapter tests throughout the course of the semester.  (Please reference the course schedule for exact dates.)</w:t>
      </w:r>
      <w:r w:rsidR="00C1064B" w:rsidRPr="00AD631A">
        <w:rPr>
          <w:bCs/>
          <w:color w:val="000000"/>
        </w:rPr>
        <w:t xml:space="preserve">  </w:t>
      </w:r>
    </w:p>
    <w:p w:rsidR="004D7A9B" w:rsidRPr="00AD631A" w:rsidRDefault="00C1064B" w:rsidP="0092159C">
      <w:pPr>
        <w:pStyle w:val="ListParagraph"/>
        <w:numPr>
          <w:ilvl w:val="0"/>
          <w:numId w:val="12"/>
        </w:numPr>
        <w:rPr>
          <w:bCs/>
          <w:color w:val="000000"/>
        </w:rPr>
      </w:pPr>
      <w:r w:rsidRPr="00AD631A">
        <w:rPr>
          <w:bCs/>
          <w:color w:val="000000"/>
        </w:rPr>
        <w:t>All chapter tests are found within MLP and</w:t>
      </w:r>
      <w:r w:rsidR="00C60EB7" w:rsidRPr="00AD631A">
        <w:rPr>
          <w:bCs/>
          <w:color w:val="000000"/>
        </w:rPr>
        <w:t xml:space="preserve"> are</w:t>
      </w:r>
      <w:r w:rsidR="00563D36">
        <w:rPr>
          <w:bCs/>
          <w:color w:val="000000"/>
        </w:rPr>
        <w:t xml:space="preserve"> comprised of </w:t>
      </w:r>
      <w:r w:rsidRPr="00AD631A">
        <w:rPr>
          <w:bCs/>
          <w:color w:val="000000"/>
        </w:rPr>
        <w:t>questions</w:t>
      </w:r>
      <w:r w:rsidR="001F3671">
        <w:rPr>
          <w:bCs/>
          <w:color w:val="000000"/>
        </w:rPr>
        <w:t xml:space="preserve"> that must be completed within</w:t>
      </w:r>
      <w:r w:rsidR="00BD456F">
        <w:rPr>
          <w:bCs/>
          <w:color w:val="000000"/>
        </w:rPr>
        <w:t xml:space="preserve"> </w:t>
      </w:r>
      <w:r w:rsidR="001F3671">
        <w:rPr>
          <w:bCs/>
          <w:color w:val="000000"/>
        </w:rPr>
        <w:t>45 consecutive minutes</w:t>
      </w:r>
      <w:r w:rsidRPr="00AD631A">
        <w:rPr>
          <w:bCs/>
          <w:color w:val="000000"/>
        </w:rPr>
        <w:t xml:space="preserve">.  Tests cannot be opened, saved, and returned to at a later time.  </w:t>
      </w:r>
    </w:p>
    <w:p w:rsidR="00313EDF" w:rsidRDefault="00313EDF" w:rsidP="0092159C">
      <w:pPr>
        <w:pStyle w:val="ListParagraph"/>
        <w:numPr>
          <w:ilvl w:val="0"/>
          <w:numId w:val="12"/>
        </w:numPr>
        <w:rPr>
          <w:bCs/>
          <w:color w:val="000000"/>
        </w:rPr>
      </w:pPr>
      <w:r w:rsidRPr="00AD631A">
        <w:rPr>
          <w:bCs/>
          <w:color w:val="000000"/>
        </w:rPr>
        <w:t>You may use one 3x5 index</w:t>
      </w:r>
      <w:r w:rsidR="000A7E99">
        <w:rPr>
          <w:bCs/>
          <w:color w:val="000000"/>
        </w:rPr>
        <w:t xml:space="preserve"> card with notes front and back,</w:t>
      </w:r>
      <w:r w:rsidRPr="00AD631A">
        <w:rPr>
          <w:bCs/>
          <w:color w:val="000000"/>
        </w:rPr>
        <w:t xml:space="preserve"> </w:t>
      </w:r>
      <w:r w:rsidR="00AF4B4C">
        <w:rPr>
          <w:bCs/>
          <w:color w:val="000000"/>
        </w:rPr>
        <w:t>an approved scientific or graphing calculator (no cell phones)</w:t>
      </w:r>
      <w:r w:rsidR="000A7E99" w:rsidRPr="000A7E99">
        <w:rPr>
          <w:bCs/>
          <w:color w:val="000000"/>
        </w:rPr>
        <w:t xml:space="preserve">, </w:t>
      </w:r>
      <w:r w:rsidR="001F3671">
        <w:rPr>
          <w:bCs/>
          <w:color w:val="000000"/>
        </w:rPr>
        <w:t xml:space="preserve">approved formula sheets, </w:t>
      </w:r>
      <w:r w:rsidR="000A7E99" w:rsidRPr="000A7E99">
        <w:rPr>
          <w:bCs/>
          <w:color w:val="000000"/>
        </w:rPr>
        <w:t>and blank scratch paper</w:t>
      </w:r>
      <w:r w:rsidR="000A7E99">
        <w:rPr>
          <w:bCs/>
          <w:color w:val="000000"/>
        </w:rPr>
        <w:t xml:space="preserve"> which will be provided</w:t>
      </w:r>
      <w:r w:rsidR="000A7E99" w:rsidRPr="000A7E99">
        <w:rPr>
          <w:bCs/>
          <w:color w:val="000000"/>
        </w:rPr>
        <w:t>.</w:t>
      </w:r>
      <w:r w:rsidR="000A7E99">
        <w:rPr>
          <w:bCs/>
          <w:color w:val="000000"/>
        </w:rPr>
        <w:t xml:space="preserve"> </w:t>
      </w:r>
      <w:r w:rsidRPr="00AD631A">
        <w:rPr>
          <w:bCs/>
          <w:color w:val="000000"/>
        </w:rPr>
        <w:t xml:space="preserve"> No additional materials are allowed.</w:t>
      </w:r>
    </w:p>
    <w:p w:rsidR="001F3671" w:rsidRPr="001F3671" w:rsidRDefault="001F3671" w:rsidP="0092159C">
      <w:pPr>
        <w:pStyle w:val="ListParagraph"/>
        <w:numPr>
          <w:ilvl w:val="0"/>
          <w:numId w:val="38"/>
        </w:numPr>
        <w:rPr>
          <w:bCs/>
          <w:color w:val="000000"/>
        </w:rPr>
      </w:pPr>
      <w:r>
        <w:rPr>
          <w:bCs/>
          <w:color w:val="000000"/>
        </w:rPr>
        <w:t>The approved fo</w:t>
      </w:r>
      <w:r w:rsidR="00952BE6">
        <w:rPr>
          <w:bCs/>
          <w:color w:val="000000"/>
        </w:rPr>
        <w:t>rmula sheets will be posted to B</w:t>
      </w:r>
      <w:r>
        <w:rPr>
          <w:bCs/>
          <w:color w:val="000000"/>
        </w:rPr>
        <w:t>lackboard.</w:t>
      </w:r>
    </w:p>
    <w:p w:rsidR="004D7A9B" w:rsidRDefault="00487F1C" w:rsidP="0092159C">
      <w:pPr>
        <w:pStyle w:val="ListParagraph"/>
        <w:numPr>
          <w:ilvl w:val="0"/>
          <w:numId w:val="12"/>
        </w:numPr>
        <w:rPr>
          <w:bCs/>
          <w:color w:val="000000"/>
        </w:rPr>
      </w:pPr>
      <w:r>
        <w:rPr>
          <w:bCs/>
          <w:color w:val="000000"/>
        </w:rPr>
        <w:t xml:space="preserve">All exams are </w:t>
      </w:r>
      <w:r w:rsidR="004D7A9B" w:rsidRPr="00AD631A">
        <w:rPr>
          <w:bCs/>
          <w:color w:val="000000"/>
        </w:rPr>
        <w:t xml:space="preserve">taken in the Math </w:t>
      </w:r>
      <w:r w:rsidR="005627EC">
        <w:rPr>
          <w:bCs/>
          <w:color w:val="000000"/>
        </w:rPr>
        <w:t xml:space="preserve">Emporium </w:t>
      </w:r>
      <w:r w:rsidR="004D7A9B" w:rsidRPr="00AD631A">
        <w:rPr>
          <w:bCs/>
          <w:color w:val="000000"/>
        </w:rPr>
        <w:t xml:space="preserve">Computer </w:t>
      </w:r>
      <w:r>
        <w:rPr>
          <w:bCs/>
          <w:color w:val="000000"/>
        </w:rPr>
        <w:t>Lab (PKH 308) on the UTA campus d</w:t>
      </w:r>
      <w:r w:rsidR="00563D36">
        <w:rPr>
          <w:bCs/>
          <w:color w:val="000000"/>
        </w:rPr>
        <w:t>uring your regularly scheduled class</w:t>
      </w:r>
      <w:r>
        <w:rPr>
          <w:bCs/>
          <w:color w:val="000000"/>
        </w:rPr>
        <w:t xml:space="preserve"> time</w:t>
      </w:r>
      <w:r w:rsidR="00563D36">
        <w:rPr>
          <w:bCs/>
          <w:color w:val="000000"/>
        </w:rPr>
        <w:t xml:space="preserve"> or announced alternative time frame</w:t>
      </w:r>
      <w:r>
        <w:rPr>
          <w:bCs/>
          <w:color w:val="000000"/>
        </w:rPr>
        <w:t>.</w:t>
      </w:r>
      <w:r w:rsidR="00CA7B6B" w:rsidRPr="00CA7B6B">
        <w:rPr>
          <w:bCs/>
          <w:color w:val="000000"/>
        </w:rPr>
        <w:t xml:space="preserve"> </w:t>
      </w:r>
      <w:r w:rsidR="00CA7B6B">
        <w:rPr>
          <w:bCs/>
          <w:color w:val="000000"/>
        </w:rPr>
        <w:t xml:space="preserve"> You must have your </w:t>
      </w:r>
      <w:proofErr w:type="spellStart"/>
      <w:r w:rsidR="00CA7B6B">
        <w:rPr>
          <w:bCs/>
          <w:color w:val="000000"/>
        </w:rPr>
        <w:t>MavID</w:t>
      </w:r>
      <w:proofErr w:type="spellEnd"/>
      <w:r w:rsidR="00CA7B6B">
        <w:rPr>
          <w:bCs/>
          <w:color w:val="000000"/>
        </w:rPr>
        <w:t xml:space="preserve"> with you on exam day and will be required to sign in upon entering and exiting the lab.  </w:t>
      </w:r>
    </w:p>
    <w:p w:rsidR="00487F1C" w:rsidRPr="00AD631A" w:rsidRDefault="00487F1C" w:rsidP="0092159C">
      <w:pPr>
        <w:pStyle w:val="ListParagraph"/>
        <w:numPr>
          <w:ilvl w:val="0"/>
          <w:numId w:val="12"/>
        </w:numPr>
        <w:rPr>
          <w:bCs/>
          <w:color w:val="000000"/>
        </w:rPr>
      </w:pPr>
      <w:r>
        <w:rPr>
          <w:bCs/>
          <w:color w:val="000000"/>
        </w:rPr>
        <w:t>You may not leave the room during an exam.</w:t>
      </w:r>
    </w:p>
    <w:p w:rsidR="004D7A9B" w:rsidRDefault="004D7A9B" w:rsidP="0092159C">
      <w:pPr>
        <w:pStyle w:val="ListParagraph"/>
        <w:numPr>
          <w:ilvl w:val="0"/>
          <w:numId w:val="12"/>
        </w:numPr>
        <w:rPr>
          <w:bCs/>
          <w:color w:val="000000"/>
        </w:rPr>
      </w:pPr>
      <w:r w:rsidRPr="00AD631A">
        <w:rPr>
          <w:bCs/>
          <w:color w:val="000000"/>
        </w:rPr>
        <w:t xml:space="preserve">Use of any unauthorized electronic devices </w:t>
      </w:r>
      <w:r w:rsidR="00C1064B" w:rsidRPr="00AD631A">
        <w:rPr>
          <w:bCs/>
          <w:color w:val="000000"/>
        </w:rPr>
        <w:t xml:space="preserve">or notes </w:t>
      </w:r>
      <w:r w:rsidRPr="00AD631A">
        <w:rPr>
          <w:bCs/>
          <w:color w:val="000000"/>
        </w:rPr>
        <w:t>during an exam will result in a grade of ZERO.</w:t>
      </w:r>
    </w:p>
    <w:p w:rsidR="004D7A9B" w:rsidRPr="007E20D3" w:rsidRDefault="004D7A9B" w:rsidP="000879E6">
      <w:pPr>
        <w:pStyle w:val="Heading2"/>
        <w:spacing w:after="60"/>
      </w:pPr>
      <w:r w:rsidRPr="007E20D3">
        <w:t>Final Exam</w:t>
      </w:r>
    </w:p>
    <w:p w:rsidR="00C60EB7" w:rsidRPr="00AD631A" w:rsidRDefault="00C60EB7" w:rsidP="000879E6">
      <w:pPr>
        <w:spacing w:after="120"/>
        <w:rPr>
          <w:bCs/>
          <w:color w:val="000000"/>
        </w:rPr>
      </w:pPr>
      <w:r w:rsidRPr="00AD631A">
        <w:rPr>
          <w:bCs/>
          <w:color w:val="000000"/>
        </w:rPr>
        <w:t>The final exam is a comprehensive, proctored exam co</w:t>
      </w:r>
      <w:r w:rsidR="00690B73" w:rsidRPr="00AD631A">
        <w:rPr>
          <w:bCs/>
          <w:color w:val="000000"/>
        </w:rPr>
        <w:t>ntaining material from</w:t>
      </w:r>
      <w:r w:rsidRPr="00AD631A">
        <w:rPr>
          <w:bCs/>
          <w:color w:val="000000"/>
        </w:rPr>
        <w:t xml:space="preserve"> all sections </w:t>
      </w:r>
      <w:r w:rsidR="00690B73" w:rsidRPr="00AD631A">
        <w:rPr>
          <w:bCs/>
          <w:color w:val="000000"/>
        </w:rPr>
        <w:t xml:space="preserve">covered </w:t>
      </w:r>
      <w:r w:rsidRPr="00AD631A">
        <w:rPr>
          <w:bCs/>
          <w:color w:val="000000"/>
        </w:rPr>
        <w:t xml:space="preserve">over the course of the semester.  (Please reference the course schedule for exact dates.)  </w:t>
      </w:r>
    </w:p>
    <w:p w:rsidR="00C60EB7" w:rsidRPr="00AD631A" w:rsidRDefault="00690B73" w:rsidP="0092159C">
      <w:pPr>
        <w:pStyle w:val="ListParagraph"/>
        <w:numPr>
          <w:ilvl w:val="0"/>
          <w:numId w:val="12"/>
        </w:numPr>
        <w:rPr>
          <w:bCs/>
          <w:color w:val="000000"/>
        </w:rPr>
      </w:pPr>
      <w:r w:rsidRPr="00AD631A">
        <w:rPr>
          <w:bCs/>
          <w:color w:val="000000"/>
        </w:rPr>
        <w:t>The final is</w:t>
      </w:r>
      <w:r w:rsidR="00C60EB7" w:rsidRPr="00AD631A">
        <w:rPr>
          <w:bCs/>
          <w:color w:val="000000"/>
        </w:rPr>
        <w:t xml:space="preserve"> found within MLP and</w:t>
      </w:r>
      <w:r w:rsidRPr="00AD631A">
        <w:rPr>
          <w:bCs/>
          <w:color w:val="000000"/>
        </w:rPr>
        <w:t xml:space="preserve"> is</w:t>
      </w:r>
      <w:r w:rsidR="00C60EB7" w:rsidRPr="00AD631A">
        <w:rPr>
          <w:bCs/>
          <w:color w:val="000000"/>
        </w:rPr>
        <w:t xml:space="preserve"> comprised of</w:t>
      </w:r>
      <w:r w:rsidRPr="00AD631A">
        <w:rPr>
          <w:bCs/>
          <w:color w:val="000000"/>
        </w:rPr>
        <w:t xml:space="preserve"> </w:t>
      </w:r>
      <w:r w:rsidR="00C60EB7" w:rsidRPr="00AD631A">
        <w:rPr>
          <w:bCs/>
          <w:color w:val="000000"/>
        </w:rPr>
        <w:t>questions that</w:t>
      </w:r>
      <w:r w:rsidR="001F3671">
        <w:rPr>
          <w:bCs/>
          <w:color w:val="000000"/>
        </w:rPr>
        <w:t xml:space="preserve"> must be completed within 135</w:t>
      </w:r>
      <w:r w:rsidR="00450762" w:rsidRPr="00AD631A">
        <w:rPr>
          <w:bCs/>
          <w:color w:val="000000"/>
        </w:rPr>
        <w:t xml:space="preserve"> consecutive minutes.  The final</w:t>
      </w:r>
      <w:r w:rsidR="00C60EB7" w:rsidRPr="00AD631A">
        <w:rPr>
          <w:bCs/>
          <w:color w:val="000000"/>
        </w:rPr>
        <w:t xml:space="preserve"> cannot be opened, saved, and returned to at a later time.</w:t>
      </w:r>
      <w:r w:rsidR="00450762" w:rsidRPr="00AD631A">
        <w:rPr>
          <w:bCs/>
          <w:color w:val="000000"/>
        </w:rPr>
        <w:t xml:space="preserve">  </w:t>
      </w:r>
    </w:p>
    <w:p w:rsidR="00313EDF" w:rsidRDefault="00313EDF" w:rsidP="0092159C">
      <w:pPr>
        <w:pStyle w:val="ListParagraph"/>
        <w:numPr>
          <w:ilvl w:val="0"/>
          <w:numId w:val="12"/>
        </w:numPr>
        <w:rPr>
          <w:bCs/>
          <w:color w:val="000000"/>
        </w:rPr>
      </w:pPr>
      <w:r w:rsidRPr="00AD631A">
        <w:rPr>
          <w:bCs/>
          <w:color w:val="000000"/>
        </w:rPr>
        <w:t>You may use two 3x5 index ca</w:t>
      </w:r>
      <w:r w:rsidR="000A7E99">
        <w:rPr>
          <w:bCs/>
          <w:color w:val="000000"/>
        </w:rPr>
        <w:t xml:space="preserve">rds with notes front and back, </w:t>
      </w:r>
      <w:r w:rsidR="00AF4B4C">
        <w:rPr>
          <w:bCs/>
          <w:color w:val="000000"/>
        </w:rPr>
        <w:t>an approved scientific or graphing calculator (no cell phones)</w:t>
      </w:r>
      <w:r w:rsidR="000A7E99" w:rsidRPr="000A7E99">
        <w:rPr>
          <w:bCs/>
          <w:color w:val="000000"/>
        </w:rPr>
        <w:t xml:space="preserve">, </w:t>
      </w:r>
      <w:r w:rsidR="001F3671">
        <w:rPr>
          <w:bCs/>
          <w:color w:val="000000"/>
        </w:rPr>
        <w:t xml:space="preserve">approved formula sheets, </w:t>
      </w:r>
      <w:r w:rsidR="000A7E99" w:rsidRPr="000A7E99">
        <w:rPr>
          <w:bCs/>
          <w:color w:val="000000"/>
        </w:rPr>
        <w:t>and blank scratch paper</w:t>
      </w:r>
      <w:r w:rsidR="000A7E99">
        <w:rPr>
          <w:bCs/>
          <w:color w:val="000000"/>
        </w:rPr>
        <w:t xml:space="preserve"> which will be provided</w:t>
      </w:r>
      <w:r w:rsidR="000A7E99" w:rsidRPr="000A7E99">
        <w:rPr>
          <w:bCs/>
          <w:color w:val="000000"/>
        </w:rPr>
        <w:t>.</w:t>
      </w:r>
      <w:r w:rsidR="000A7E99">
        <w:rPr>
          <w:bCs/>
          <w:color w:val="000000"/>
        </w:rPr>
        <w:t xml:space="preserve">  </w:t>
      </w:r>
      <w:r w:rsidRPr="00AD631A">
        <w:rPr>
          <w:bCs/>
          <w:color w:val="000000"/>
        </w:rPr>
        <w:t>No additional materials are allowed.</w:t>
      </w:r>
    </w:p>
    <w:p w:rsidR="001F3671" w:rsidRPr="00AD631A" w:rsidRDefault="001F3671" w:rsidP="0092159C">
      <w:pPr>
        <w:pStyle w:val="ListParagraph"/>
        <w:numPr>
          <w:ilvl w:val="0"/>
          <w:numId w:val="12"/>
        </w:numPr>
        <w:rPr>
          <w:bCs/>
          <w:color w:val="000000"/>
        </w:rPr>
      </w:pPr>
      <w:r>
        <w:rPr>
          <w:bCs/>
          <w:color w:val="000000"/>
        </w:rPr>
        <w:t>The approved fo</w:t>
      </w:r>
      <w:r w:rsidR="00952BE6">
        <w:rPr>
          <w:bCs/>
          <w:color w:val="000000"/>
        </w:rPr>
        <w:t>rmula sheets will be posted to B</w:t>
      </w:r>
      <w:r>
        <w:rPr>
          <w:bCs/>
          <w:color w:val="000000"/>
        </w:rPr>
        <w:t>lackboard.</w:t>
      </w:r>
    </w:p>
    <w:p w:rsidR="00C60EB7" w:rsidRDefault="00450762" w:rsidP="0092159C">
      <w:pPr>
        <w:pStyle w:val="ListParagraph"/>
        <w:numPr>
          <w:ilvl w:val="0"/>
          <w:numId w:val="12"/>
        </w:numPr>
        <w:rPr>
          <w:bCs/>
          <w:color w:val="000000"/>
        </w:rPr>
      </w:pPr>
      <w:r w:rsidRPr="00AD631A">
        <w:rPr>
          <w:bCs/>
          <w:color w:val="000000"/>
        </w:rPr>
        <w:lastRenderedPageBreak/>
        <w:t xml:space="preserve">The final exam </w:t>
      </w:r>
      <w:r w:rsidR="00487F1C">
        <w:rPr>
          <w:bCs/>
          <w:color w:val="000000"/>
        </w:rPr>
        <w:t>will</w:t>
      </w:r>
      <w:r w:rsidR="00C60EB7" w:rsidRPr="00AD631A">
        <w:rPr>
          <w:bCs/>
          <w:color w:val="000000"/>
        </w:rPr>
        <w:t xml:space="preserve"> </w:t>
      </w:r>
      <w:r w:rsidRPr="00AD631A">
        <w:rPr>
          <w:bCs/>
          <w:color w:val="000000"/>
        </w:rPr>
        <w:t xml:space="preserve">be </w:t>
      </w:r>
      <w:r w:rsidR="00C60EB7" w:rsidRPr="00AD631A">
        <w:rPr>
          <w:bCs/>
          <w:color w:val="000000"/>
        </w:rPr>
        <w:t xml:space="preserve">taken in the Math </w:t>
      </w:r>
      <w:r w:rsidR="005627EC">
        <w:rPr>
          <w:bCs/>
          <w:color w:val="000000"/>
        </w:rPr>
        <w:t xml:space="preserve">Emporium </w:t>
      </w:r>
      <w:r w:rsidR="00C60EB7" w:rsidRPr="00AD631A">
        <w:rPr>
          <w:bCs/>
          <w:color w:val="000000"/>
        </w:rPr>
        <w:t xml:space="preserve">Computer </w:t>
      </w:r>
      <w:r w:rsidR="00487F1C">
        <w:rPr>
          <w:bCs/>
          <w:color w:val="000000"/>
        </w:rPr>
        <w:t>Lab (PKH 308) on the UTA campus.  Final exam dates will be announced at least one week prior to final exam week.</w:t>
      </w:r>
      <w:r w:rsidR="00CA7B6B">
        <w:rPr>
          <w:bCs/>
          <w:color w:val="000000"/>
        </w:rPr>
        <w:t xml:space="preserve"> </w:t>
      </w:r>
      <w:r w:rsidR="00CA7B6B" w:rsidRPr="00CA7B6B">
        <w:rPr>
          <w:bCs/>
          <w:color w:val="000000"/>
        </w:rPr>
        <w:t xml:space="preserve"> </w:t>
      </w:r>
      <w:r w:rsidR="00CA7B6B">
        <w:rPr>
          <w:bCs/>
          <w:color w:val="000000"/>
        </w:rPr>
        <w:t xml:space="preserve">You must have your </w:t>
      </w:r>
      <w:proofErr w:type="spellStart"/>
      <w:r w:rsidR="00CA7B6B">
        <w:rPr>
          <w:bCs/>
          <w:color w:val="000000"/>
        </w:rPr>
        <w:t>MavID</w:t>
      </w:r>
      <w:proofErr w:type="spellEnd"/>
      <w:r w:rsidR="00CA7B6B">
        <w:rPr>
          <w:bCs/>
          <w:color w:val="000000"/>
        </w:rPr>
        <w:t xml:space="preserve"> with you on exam day and will be required to sign in upon entering and exiting the lab.  </w:t>
      </w:r>
    </w:p>
    <w:p w:rsidR="00ED31AA" w:rsidRPr="00ED31AA" w:rsidRDefault="00ED31AA" w:rsidP="00ED31AA">
      <w:pPr>
        <w:pStyle w:val="ListParagraph"/>
        <w:numPr>
          <w:ilvl w:val="0"/>
          <w:numId w:val="12"/>
        </w:numPr>
        <w:rPr>
          <w:bCs/>
          <w:color w:val="000000"/>
        </w:rPr>
      </w:pPr>
      <w:r>
        <w:rPr>
          <w:bCs/>
          <w:color w:val="000000"/>
        </w:rPr>
        <w:t>You may not leave the room during an exam.</w:t>
      </w:r>
    </w:p>
    <w:p w:rsidR="007E20D3" w:rsidRPr="007E20D3" w:rsidRDefault="0070152C" w:rsidP="0092159C">
      <w:pPr>
        <w:pStyle w:val="ListParagraph"/>
        <w:numPr>
          <w:ilvl w:val="0"/>
          <w:numId w:val="12"/>
        </w:numPr>
        <w:rPr>
          <w:bCs/>
          <w:color w:val="000000"/>
        </w:rPr>
      </w:pPr>
      <w:r w:rsidRPr="00AD631A">
        <w:rPr>
          <w:bCs/>
          <w:color w:val="000000"/>
        </w:rPr>
        <w:t>Use of any unauthorized electronic devices or notes during an exam will result in a grade of ZERO.</w:t>
      </w:r>
    </w:p>
    <w:p w:rsidR="00EE6A0E" w:rsidRDefault="00EE6A0E" w:rsidP="00EE6A0E">
      <w:pPr>
        <w:pStyle w:val="Heading2"/>
        <w:spacing w:after="60"/>
      </w:pPr>
      <w:r>
        <w:t>Extra Credit</w:t>
      </w:r>
    </w:p>
    <w:p w:rsidR="00EE6A0E" w:rsidRDefault="00EE6A0E" w:rsidP="00EE6A0E">
      <w:pPr>
        <w:spacing w:after="0"/>
        <w:rPr>
          <w:bCs/>
          <w:color w:val="000000"/>
        </w:rPr>
      </w:pPr>
      <w:r>
        <w:rPr>
          <w:bCs/>
          <w:color w:val="000000"/>
        </w:rPr>
        <w:t>Extra Credit may be earned by correctly answering entry and exit quizzes given during lecture meetings.  The entry quiz will be based on a topic over which students are expected to prepare before lecture, and the exit quiz will be based on the lecture itself.  The quizzes will be answered on the required 3”x5” index cards that you bring with you to class.  Points accumulated by correct responses could add up to 5 points on the final exam.</w:t>
      </w:r>
    </w:p>
    <w:p w:rsidR="00F53D14" w:rsidRPr="00F53D14" w:rsidRDefault="00F53D14" w:rsidP="000879E6">
      <w:pPr>
        <w:pStyle w:val="Heading2"/>
        <w:spacing w:after="60"/>
      </w:pPr>
      <w:r>
        <w:t>Makeup Policy</w:t>
      </w:r>
    </w:p>
    <w:p w:rsidR="00F53D14" w:rsidRPr="00F53D14" w:rsidRDefault="0072619C" w:rsidP="00F53D14">
      <w:pPr>
        <w:spacing w:after="0"/>
        <w:rPr>
          <w:rFonts w:ascii="Calibri" w:eastAsia="Times New Roman" w:hAnsi="Calibri" w:cs="Times New Roman"/>
          <w:color w:val="000000"/>
        </w:rPr>
      </w:pPr>
      <w:r>
        <w:t xml:space="preserve">In addition to the policy that NO late homework or quizzes will be accepted (see Homework and Quizzes), </w:t>
      </w:r>
      <w:r>
        <w:rPr>
          <w:b/>
        </w:rPr>
        <w:t>there are no make-up exams.</w:t>
      </w:r>
      <w:r w:rsidR="00F53D14" w:rsidRPr="00F53D14">
        <w:rPr>
          <w:rFonts w:ascii="Calibri" w:eastAsia="Times New Roman" w:hAnsi="Calibri" w:cs="Times New Roman"/>
          <w:b/>
          <w:color w:val="000000"/>
        </w:rPr>
        <w:t xml:space="preserve">  </w:t>
      </w:r>
      <w:r w:rsidR="00F53D14" w:rsidRPr="00F53D14">
        <w:rPr>
          <w:rFonts w:ascii="Calibri" w:eastAsia="Times New Roman" w:hAnsi="Calibri" w:cs="Times New Roman"/>
          <w:bCs/>
          <w:color w:val="000000"/>
        </w:rPr>
        <w:t>I</w:t>
      </w:r>
      <w:r w:rsidR="00F53D14" w:rsidRPr="00F53D14">
        <w:rPr>
          <w:rFonts w:ascii="Calibri" w:eastAsia="Times New Roman" w:hAnsi="Calibri" w:cs="Times New Roman"/>
          <w:color w:val="000000"/>
        </w:rPr>
        <w:t xml:space="preserve">f you know ahead of time that you are going to miss class for a legitimate reason, it is your responsibility to inform me and make </w:t>
      </w:r>
      <w:r w:rsidR="00F53D14">
        <w:rPr>
          <w:rFonts w:ascii="Calibri" w:eastAsia="Times New Roman" w:hAnsi="Calibri" w:cs="Times New Roman"/>
          <w:color w:val="000000"/>
        </w:rPr>
        <w:t xml:space="preserve">the necessary </w:t>
      </w:r>
      <w:r w:rsidR="00F53D14" w:rsidRPr="00F53D14">
        <w:rPr>
          <w:rFonts w:ascii="Calibri" w:eastAsia="Times New Roman" w:hAnsi="Calibri" w:cs="Times New Roman"/>
          <w:color w:val="000000"/>
        </w:rPr>
        <w:t xml:space="preserve">arrangements.  If you </w:t>
      </w:r>
      <w:r w:rsidR="006178FB">
        <w:rPr>
          <w:rFonts w:ascii="Calibri" w:eastAsia="Times New Roman" w:hAnsi="Calibri" w:cs="Times New Roman"/>
          <w:color w:val="000000"/>
        </w:rPr>
        <w:t>have a conflict with a scheduled</w:t>
      </w:r>
      <w:r w:rsidR="00F53D14" w:rsidRPr="00F53D14">
        <w:rPr>
          <w:rFonts w:ascii="Calibri" w:eastAsia="Times New Roman" w:hAnsi="Calibri" w:cs="Times New Roman"/>
          <w:color w:val="000000"/>
        </w:rPr>
        <w:t xml:space="preserve"> exam due to a school sponsored </w:t>
      </w:r>
      <w:r w:rsidR="00F53D14">
        <w:rPr>
          <w:rFonts w:ascii="Calibri" w:eastAsia="Times New Roman" w:hAnsi="Calibri" w:cs="Times New Roman"/>
          <w:color w:val="000000"/>
        </w:rPr>
        <w:t xml:space="preserve">or excused </w:t>
      </w:r>
      <w:r w:rsidR="00F53D14" w:rsidRPr="00F53D14">
        <w:rPr>
          <w:rFonts w:ascii="Calibri" w:eastAsia="Times New Roman" w:hAnsi="Calibri" w:cs="Times New Roman"/>
          <w:color w:val="000000"/>
        </w:rPr>
        <w:t>event, you MUST have</w:t>
      </w:r>
      <w:r w:rsidR="00F53D14">
        <w:rPr>
          <w:rFonts w:ascii="Calibri" w:eastAsia="Times New Roman" w:hAnsi="Calibri" w:cs="Times New Roman"/>
          <w:color w:val="000000"/>
        </w:rPr>
        <w:t xml:space="preserve"> documentation</w:t>
      </w:r>
      <w:r w:rsidR="00F53D14" w:rsidRPr="00F53D14">
        <w:rPr>
          <w:rFonts w:ascii="Calibri" w:eastAsia="Times New Roman" w:hAnsi="Calibri" w:cs="Times New Roman"/>
          <w:color w:val="000000"/>
        </w:rPr>
        <w:t xml:space="preserve"> and you MUST arrange to take the test BEFORE you leave.</w:t>
      </w:r>
      <w:r w:rsidR="00F53D14">
        <w:rPr>
          <w:rFonts w:ascii="Calibri" w:eastAsia="Times New Roman" w:hAnsi="Calibri" w:cs="Times New Roman"/>
          <w:color w:val="000000"/>
        </w:rPr>
        <w:t xml:space="preserve">  </w:t>
      </w:r>
      <w:r w:rsidR="00037B3F">
        <w:rPr>
          <w:rFonts w:ascii="Calibri" w:eastAsia="Times New Roman" w:hAnsi="Calibri" w:cs="Times New Roman"/>
          <w:color w:val="000000"/>
        </w:rPr>
        <w:t>To request an alternate test date because of an approved conflict, please fill out the Alternate Test Date Request Form w</w:t>
      </w:r>
      <w:r w:rsidR="006178FB">
        <w:rPr>
          <w:rFonts w:ascii="Calibri" w:eastAsia="Times New Roman" w:hAnsi="Calibri" w:cs="Times New Roman"/>
          <w:color w:val="000000"/>
        </w:rPr>
        <w:t>hich can be found in Blackboard. You must either</w:t>
      </w:r>
      <w:r w:rsidR="00037B3F">
        <w:rPr>
          <w:rFonts w:ascii="Calibri" w:eastAsia="Times New Roman" w:hAnsi="Calibri" w:cs="Times New Roman"/>
          <w:color w:val="000000"/>
        </w:rPr>
        <w:t xml:space="preserve"> </w:t>
      </w:r>
      <w:r w:rsidR="006178FB">
        <w:rPr>
          <w:rFonts w:ascii="Calibri" w:eastAsia="Times New Roman" w:hAnsi="Calibri" w:cs="Times New Roman"/>
          <w:color w:val="000000"/>
        </w:rPr>
        <w:t xml:space="preserve">submit the forms directly to me during class or office hours or </w:t>
      </w:r>
      <w:r w:rsidR="00037B3F">
        <w:rPr>
          <w:rFonts w:ascii="Calibri" w:eastAsia="Times New Roman" w:hAnsi="Calibri" w:cs="Times New Roman"/>
          <w:color w:val="000000"/>
        </w:rPr>
        <w:t>email the form along with the necessary documentation at least tw</w:t>
      </w:r>
      <w:r w:rsidR="006178FB">
        <w:rPr>
          <w:rFonts w:ascii="Calibri" w:eastAsia="Times New Roman" w:hAnsi="Calibri" w:cs="Times New Roman"/>
          <w:color w:val="000000"/>
        </w:rPr>
        <w:t>o weeks prior to the first exam.</w:t>
      </w:r>
      <w:r w:rsidR="007260BF">
        <w:rPr>
          <w:rFonts w:ascii="Calibri" w:eastAsia="Times New Roman" w:hAnsi="Calibri" w:cs="Times New Roman"/>
          <w:color w:val="000000"/>
        </w:rPr>
        <w:t xml:space="preserve">  </w:t>
      </w:r>
      <w:r w:rsidR="007260BF" w:rsidRPr="00EA7113">
        <w:t>A request for a rescheduled exam will only be considered in rare, documentable, and verifiable instances. The decision to grant an alternate test date will be at the sole discretion of the instructor and/or course coordinator.</w:t>
      </w:r>
    </w:p>
    <w:p w:rsidR="00487F1C" w:rsidRDefault="00563D36" w:rsidP="000879E6">
      <w:pPr>
        <w:pStyle w:val="Heading2"/>
        <w:spacing w:after="60"/>
        <w:rPr>
          <w:rFonts w:eastAsia="Times New Roman"/>
        </w:rPr>
      </w:pPr>
      <w:r>
        <w:rPr>
          <w:rFonts w:eastAsia="Times New Roman"/>
        </w:rPr>
        <w:t xml:space="preserve">Course </w:t>
      </w:r>
      <w:r w:rsidR="00487F1C" w:rsidRPr="00487F1C">
        <w:rPr>
          <w:rFonts w:eastAsia="Times New Roman"/>
        </w:rPr>
        <w:t>Strategies</w:t>
      </w:r>
    </w:p>
    <w:p w:rsidR="00487F1C" w:rsidRPr="00487F1C" w:rsidRDefault="00487F1C" w:rsidP="000879E6">
      <w:pPr>
        <w:spacing w:after="120"/>
        <w:rPr>
          <w:rFonts w:ascii="Calibri" w:eastAsia="Times New Roman" w:hAnsi="Calibri" w:cs="Times New Roman"/>
          <w:color w:val="000000"/>
        </w:rPr>
      </w:pPr>
      <w:r w:rsidRPr="00487F1C">
        <w:rPr>
          <w:rFonts w:ascii="Calibri" w:eastAsia="Times New Roman" w:hAnsi="Calibri" w:cs="Times New Roman"/>
          <w:color w:val="000000"/>
        </w:rPr>
        <w:t>The primary methods for course content deliv</w:t>
      </w:r>
      <w:r w:rsidR="00563D36">
        <w:rPr>
          <w:rFonts w:ascii="Calibri" w:eastAsia="Times New Roman" w:hAnsi="Calibri" w:cs="Times New Roman"/>
          <w:color w:val="000000"/>
        </w:rPr>
        <w:t>ery will be lecture</w:t>
      </w:r>
      <w:r w:rsidRPr="00487F1C">
        <w:rPr>
          <w:rFonts w:ascii="Calibri" w:eastAsia="Times New Roman" w:hAnsi="Calibri" w:cs="Times New Roman"/>
          <w:color w:val="000000"/>
        </w:rPr>
        <w:t xml:space="preserve">.  </w:t>
      </w:r>
    </w:p>
    <w:p w:rsidR="00487F1C" w:rsidRPr="00487F1C" w:rsidRDefault="00487F1C" w:rsidP="0092159C">
      <w:pPr>
        <w:pStyle w:val="ListParagraph"/>
        <w:numPr>
          <w:ilvl w:val="0"/>
          <w:numId w:val="21"/>
        </w:numPr>
        <w:spacing w:after="0"/>
        <w:rPr>
          <w:rFonts w:eastAsia="Times New Roman" w:cs="Times New Roman"/>
          <w:color w:val="000000"/>
        </w:rPr>
      </w:pPr>
      <w:r w:rsidRPr="00AD631A">
        <w:t xml:space="preserve">You should bring </w:t>
      </w:r>
      <w:r w:rsidR="00563D36">
        <w:t>your textbo</w:t>
      </w:r>
      <w:r w:rsidRPr="00AD631A">
        <w:t xml:space="preserve">ok with you to class.  You will be guided through the notes and course material will be explained.  </w:t>
      </w:r>
    </w:p>
    <w:p w:rsidR="00487F1C" w:rsidRPr="00487F1C" w:rsidRDefault="00487F1C" w:rsidP="0092159C">
      <w:pPr>
        <w:numPr>
          <w:ilvl w:val="0"/>
          <w:numId w:val="22"/>
        </w:numPr>
        <w:spacing w:after="0"/>
        <w:contextualSpacing/>
        <w:rPr>
          <w:rFonts w:ascii="Calibri" w:eastAsia="Times New Roman" w:hAnsi="Calibri" w:cs="Times New Roman"/>
          <w:color w:val="000000"/>
        </w:rPr>
      </w:pPr>
      <w:r w:rsidRPr="00487F1C">
        <w:rPr>
          <w:rFonts w:ascii="Calibri" w:eastAsia="Times New Roman" w:hAnsi="Calibri" w:cs="Times New Roman"/>
          <w:color w:val="000000"/>
        </w:rPr>
        <w:t>Stu</w:t>
      </w:r>
      <w:r w:rsidR="00563D36">
        <w:rPr>
          <w:rFonts w:ascii="Calibri" w:eastAsia="Times New Roman" w:hAnsi="Calibri" w:cs="Times New Roman"/>
          <w:color w:val="000000"/>
        </w:rPr>
        <w:t xml:space="preserve">dents may </w:t>
      </w:r>
      <w:r w:rsidRPr="00487F1C">
        <w:rPr>
          <w:rFonts w:ascii="Calibri" w:eastAsia="Times New Roman" w:hAnsi="Calibri" w:cs="Times New Roman"/>
          <w:color w:val="000000"/>
        </w:rPr>
        <w:t xml:space="preserve">work through their homework and quiz assignments outside of </w:t>
      </w:r>
      <w:r w:rsidR="00563D36">
        <w:rPr>
          <w:rFonts w:ascii="Calibri" w:eastAsia="Times New Roman" w:hAnsi="Calibri" w:cs="Times New Roman"/>
          <w:color w:val="000000"/>
        </w:rPr>
        <w:t>class</w:t>
      </w:r>
      <w:r w:rsidRPr="00487F1C">
        <w:rPr>
          <w:rFonts w:ascii="Calibri" w:eastAsia="Times New Roman" w:hAnsi="Calibri" w:cs="Times New Roman"/>
          <w:color w:val="000000"/>
        </w:rPr>
        <w:t xml:space="preserve"> time since the MyLabsPlus program is accessible from any source with an internet connection.  </w:t>
      </w:r>
      <w:r w:rsidR="00ED31AA" w:rsidRPr="0065732A">
        <w:rPr>
          <w:rFonts w:ascii="Calibri" w:eastAsia="Times New Roman" w:hAnsi="Calibri" w:cs="Times New Roman"/>
          <w:color w:val="000000"/>
        </w:rPr>
        <w:t>Beyond the time required to attend each class meeting, students enrolled in this course should expect to</w:t>
      </w:r>
      <w:r w:rsidR="00ED31AA">
        <w:rPr>
          <w:rFonts w:ascii="Calibri" w:eastAsia="Times New Roman" w:hAnsi="Calibri" w:cs="Times New Roman"/>
          <w:color w:val="000000"/>
        </w:rPr>
        <w:t xml:space="preserve"> spend at least an additional 9</w:t>
      </w:r>
      <w:r w:rsidR="00ED31AA" w:rsidRPr="0065732A">
        <w:rPr>
          <w:rFonts w:ascii="Calibri" w:eastAsia="Times New Roman" w:hAnsi="Calibri" w:cs="Times New Roman"/>
          <w:color w:val="000000"/>
        </w:rPr>
        <w:t xml:space="preserve"> hours per week of their own time in course-related activities, including reading required materials, completing assignments, preparing for exams, etc.</w:t>
      </w:r>
    </w:p>
    <w:p w:rsidR="000A7E99" w:rsidRPr="00CF54F1" w:rsidRDefault="000A7E99" w:rsidP="000879E6">
      <w:pPr>
        <w:pStyle w:val="Heading2"/>
        <w:spacing w:after="60"/>
      </w:pPr>
      <w:r w:rsidRPr="00CF54F1">
        <w:t xml:space="preserve">Announcements: Found in </w:t>
      </w:r>
      <w:r w:rsidRPr="00A22CE1">
        <w:rPr>
          <w:i/>
          <w:color w:val="CA5C09" w:themeColor="accent1" w:themeShade="BF"/>
        </w:rPr>
        <w:t>MyLabsPlus</w:t>
      </w:r>
      <w:r w:rsidRPr="00CF54F1">
        <w:t xml:space="preserve"> and in</w:t>
      </w:r>
      <w:r w:rsidRPr="00A22CE1">
        <w:rPr>
          <w:i/>
        </w:rPr>
        <w:t xml:space="preserve"> </w:t>
      </w:r>
      <w:r w:rsidRPr="00A22CE1">
        <w:rPr>
          <w:i/>
          <w:color w:val="CA5C09" w:themeColor="accent1" w:themeShade="BF"/>
        </w:rPr>
        <w:t>Blackboard</w:t>
      </w:r>
      <w:r w:rsidRPr="00CF54F1">
        <w:t>.</w:t>
      </w:r>
    </w:p>
    <w:p w:rsidR="000A7E99" w:rsidRDefault="000A7E99" w:rsidP="0092159C">
      <w:pPr>
        <w:pStyle w:val="ListParagraph"/>
        <w:numPr>
          <w:ilvl w:val="0"/>
          <w:numId w:val="5"/>
        </w:numPr>
        <w:spacing w:after="0"/>
      </w:pPr>
      <w:r w:rsidRPr="00CF54F1">
        <w:t>Students are responsible for all information found in these announcements.</w:t>
      </w:r>
    </w:p>
    <w:p w:rsidR="000A7E99" w:rsidRPr="00CF54F1" w:rsidRDefault="000A7E99" w:rsidP="0092159C">
      <w:pPr>
        <w:pStyle w:val="ListParagraph"/>
        <w:numPr>
          <w:ilvl w:val="0"/>
          <w:numId w:val="5"/>
        </w:numPr>
        <w:spacing w:after="0"/>
      </w:pPr>
      <w:r w:rsidRPr="00CF54F1">
        <w:t>Students should check for new announcements at least twice a week.</w:t>
      </w:r>
    </w:p>
    <w:p w:rsidR="0070152C" w:rsidRPr="007E20D3" w:rsidRDefault="0070152C" w:rsidP="000879E6">
      <w:pPr>
        <w:pStyle w:val="Heading2"/>
        <w:spacing w:after="60"/>
      </w:pPr>
      <w:r w:rsidRPr="007E20D3">
        <w:t>Help for Students</w:t>
      </w:r>
    </w:p>
    <w:p w:rsidR="00563D36" w:rsidRPr="00CF54F1" w:rsidRDefault="00563D36" w:rsidP="0092159C">
      <w:pPr>
        <w:pStyle w:val="ListParagraph"/>
        <w:numPr>
          <w:ilvl w:val="0"/>
          <w:numId w:val="6"/>
        </w:numPr>
      </w:pPr>
      <w:r>
        <w:t xml:space="preserve">Math Emporium – computer lab located in Pickard Hall 308, offers free daily tutoring.  For details and scheduling visit the website, </w:t>
      </w:r>
      <w:hyperlink r:id="rId16" w:history="1">
        <w:r w:rsidRPr="007E7190">
          <w:rPr>
            <w:rStyle w:val="Hyperlink"/>
          </w:rPr>
          <w:t>http://www.uta.edu/math/emporium/</w:t>
        </w:r>
      </w:hyperlink>
    </w:p>
    <w:p w:rsidR="0070152C" w:rsidRPr="00AD631A" w:rsidRDefault="0070152C" w:rsidP="0092159C">
      <w:pPr>
        <w:pStyle w:val="ListParagraph"/>
        <w:numPr>
          <w:ilvl w:val="0"/>
          <w:numId w:val="6"/>
        </w:numPr>
      </w:pPr>
      <w:r w:rsidRPr="00AD631A">
        <w:lastRenderedPageBreak/>
        <w:t>Math Clinic – located in Pickard Hall 325, offers free daily help.</w:t>
      </w:r>
    </w:p>
    <w:p w:rsidR="00ED31AA" w:rsidRDefault="00C10A8D" w:rsidP="0092159C">
      <w:pPr>
        <w:pStyle w:val="ListParagraph"/>
        <w:numPr>
          <w:ilvl w:val="0"/>
          <w:numId w:val="6"/>
        </w:numPr>
      </w:pPr>
      <w:r w:rsidRPr="00AD631A">
        <w:t xml:space="preserve">Supplemental Instruction – </w:t>
      </w:r>
      <w:r w:rsidR="00ED31AA">
        <w:t>information is found within a tab in your Blackboard course.</w:t>
      </w:r>
    </w:p>
    <w:p w:rsidR="0070152C" w:rsidRPr="00AD631A" w:rsidRDefault="0070152C" w:rsidP="0092159C">
      <w:pPr>
        <w:pStyle w:val="ListParagraph"/>
        <w:numPr>
          <w:ilvl w:val="0"/>
          <w:numId w:val="6"/>
        </w:numPr>
      </w:pPr>
      <w:r w:rsidRPr="00AD631A">
        <w:t>SOAR is a cost/share tutoring service Ransom Hall 205.</w:t>
      </w:r>
    </w:p>
    <w:p w:rsidR="0070152C" w:rsidRPr="00AD631A" w:rsidRDefault="0070152C" w:rsidP="0092159C">
      <w:pPr>
        <w:pStyle w:val="ListParagraph"/>
        <w:numPr>
          <w:ilvl w:val="0"/>
          <w:numId w:val="6"/>
        </w:numPr>
      </w:pPr>
      <w:r w:rsidRPr="00AD631A">
        <w:t>Maverick Resource Hotline (817-272-6107).</w:t>
      </w:r>
    </w:p>
    <w:p w:rsidR="00487F1C" w:rsidRPr="00AD631A" w:rsidRDefault="0070152C" w:rsidP="0092159C">
      <w:pPr>
        <w:pStyle w:val="ListParagraph"/>
        <w:numPr>
          <w:ilvl w:val="0"/>
          <w:numId w:val="6"/>
        </w:numPr>
      </w:pPr>
      <w:r w:rsidRPr="00AD631A">
        <w:t>Online help: khanacademy.org.</w:t>
      </w:r>
    </w:p>
    <w:p w:rsidR="00C10A8D" w:rsidRPr="007E20D3" w:rsidRDefault="00C10A8D" w:rsidP="000879E6">
      <w:pPr>
        <w:pStyle w:val="Heading2"/>
        <w:spacing w:after="60"/>
      </w:pPr>
      <w:r w:rsidRPr="007E20D3">
        <w:t>S</w:t>
      </w:r>
      <w:r w:rsidR="007E20D3" w:rsidRPr="007E20D3">
        <w:t>oftware and System Requirements</w:t>
      </w:r>
      <w:r w:rsidRPr="007E20D3">
        <w:t xml:space="preserve">  </w:t>
      </w:r>
    </w:p>
    <w:p w:rsidR="00C10A8D" w:rsidRPr="00AD631A" w:rsidRDefault="00C10A8D" w:rsidP="000879E6">
      <w:pPr>
        <w:spacing w:after="120"/>
      </w:pPr>
      <w:r w:rsidRPr="00AD631A">
        <w:t>Mozilla Firefox and Google Chrome are the recommended and supported browsers for this course.  The course also has the following options for system requirements:</w:t>
      </w:r>
    </w:p>
    <w:p w:rsidR="00C10A8D" w:rsidRPr="00AD631A" w:rsidRDefault="001F3671" w:rsidP="0092159C">
      <w:pPr>
        <w:pStyle w:val="ListParagraph"/>
        <w:numPr>
          <w:ilvl w:val="0"/>
          <w:numId w:val="19"/>
        </w:numPr>
      </w:pPr>
      <w:r>
        <w:t>Windows 7</w:t>
      </w:r>
      <w:r w:rsidR="00C10A8D" w:rsidRPr="00AD631A">
        <w:t>.0 or higher</w:t>
      </w:r>
    </w:p>
    <w:p w:rsidR="00C10A8D" w:rsidRPr="00AD631A" w:rsidRDefault="00C10A8D" w:rsidP="0092159C">
      <w:pPr>
        <w:pStyle w:val="ListParagraph"/>
        <w:numPr>
          <w:ilvl w:val="0"/>
          <w:numId w:val="19"/>
        </w:numPr>
      </w:pPr>
      <w:r w:rsidRPr="00AD631A">
        <w:t>Mac OS x 10.8 or higher</w:t>
      </w:r>
    </w:p>
    <w:p w:rsidR="00C10A8D" w:rsidRPr="00AD631A" w:rsidRDefault="007E20D3" w:rsidP="000879E6">
      <w:pPr>
        <w:spacing w:after="120"/>
      </w:pPr>
      <w:r>
        <w:t>If working outside the lab, s</w:t>
      </w:r>
      <w:r w:rsidR="00C10A8D" w:rsidRPr="00AD631A">
        <w:t>tudents are encouraged to use the Browser Check on the initial page within the MLP system in order to check and/or update (free download) the following software requirements:</w:t>
      </w:r>
    </w:p>
    <w:p w:rsidR="00C10A8D" w:rsidRPr="00AD631A" w:rsidRDefault="00C10A8D" w:rsidP="0092159C">
      <w:pPr>
        <w:pStyle w:val="ListParagraph"/>
        <w:numPr>
          <w:ilvl w:val="0"/>
          <w:numId w:val="19"/>
        </w:numPr>
      </w:pPr>
      <w:r w:rsidRPr="00AD631A">
        <w:t xml:space="preserve">Adobe Flash Player version 11.9 or higher </w:t>
      </w:r>
    </w:p>
    <w:p w:rsidR="00C10A8D" w:rsidRPr="00AD631A" w:rsidRDefault="00C10A8D" w:rsidP="0092159C">
      <w:pPr>
        <w:pStyle w:val="ListParagraph"/>
        <w:numPr>
          <w:ilvl w:val="0"/>
          <w:numId w:val="19"/>
        </w:numPr>
      </w:pPr>
      <w:r w:rsidRPr="00AD631A">
        <w:t xml:space="preserve">Adobe Reader version XI or higher </w:t>
      </w:r>
    </w:p>
    <w:p w:rsidR="00C10A8D" w:rsidRPr="00AD631A" w:rsidRDefault="00C10A8D" w:rsidP="0092159C">
      <w:pPr>
        <w:pStyle w:val="ListParagraph"/>
        <w:numPr>
          <w:ilvl w:val="0"/>
          <w:numId w:val="19"/>
        </w:numPr>
      </w:pPr>
      <w:r w:rsidRPr="00AD631A">
        <w:t xml:space="preserve">Pearson </w:t>
      </w:r>
      <w:proofErr w:type="spellStart"/>
      <w:r w:rsidRPr="00AD631A">
        <w:t>LockDown</w:t>
      </w:r>
      <w:proofErr w:type="spellEnd"/>
      <w:r w:rsidRPr="00AD631A">
        <w:t xml:space="preserve"> Browser for Windows version 1.0.5.16 or for a Mac version 1.0.5.05 </w:t>
      </w:r>
    </w:p>
    <w:p w:rsidR="00F26C73" w:rsidRPr="007E20D3" w:rsidRDefault="00F26C73" w:rsidP="007E20D3">
      <w:pPr>
        <w:pStyle w:val="Heading1"/>
      </w:pPr>
      <w:r w:rsidRPr="007E20D3">
        <w:t>Course Objectives</w:t>
      </w:r>
    </w:p>
    <w:p w:rsidR="00ED31AA" w:rsidRDefault="00ED31AA" w:rsidP="000879E6">
      <w:pPr>
        <w:pStyle w:val="Heading2"/>
        <w:spacing w:after="60"/>
      </w:pPr>
      <w:r>
        <w:t>Course Catalog Description</w:t>
      </w:r>
    </w:p>
    <w:p w:rsidR="00ED31AA" w:rsidRPr="00ED31AA" w:rsidRDefault="00ED31AA" w:rsidP="00ED31AA">
      <w:r w:rsidRPr="00ED31AA">
        <w:t>This course covers material in a traditional algebra course together with real-world applications of mathematics. It develops problem-solving and critical thinking skills. Topics include the mathematics of dimensional analysis, mathematical logic, population growth, optimization, voting theory, number theory, graph theory, relations, functions, probability, statistics, and finance. The use of mathematical software and calculators is required. See course syllabus for details. Credit may be received for only one of MATH 1301, MATH 1302, or MATH 1315.</w:t>
      </w:r>
    </w:p>
    <w:p w:rsidR="00F26C73" w:rsidRPr="007E20D3" w:rsidRDefault="00F26C73" w:rsidP="000879E6">
      <w:pPr>
        <w:pStyle w:val="Heading2"/>
        <w:spacing w:after="60"/>
      </w:pPr>
      <w:r w:rsidRPr="007E20D3">
        <w:t>Learning Objectives and Outcomes</w:t>
      </w:r>
    </w:p>
    <w:p w:rsidR="00F26C73" w:rsidRPr="00AD631A" w:rsidRDefault="00F26C73" w:rsidP="00BF6D21">
      <w:pPr>
        <w:spacing w:after="120" w:line="240" w:lineRule="auto"/>
        <w:rPr>
          <w:lang w:eastAsia="ja-JP"/>
        </w:rPr>
      </w:pPr>
      <w:r w:rsidRPr="00AD631A">
        <w:rPr>
          <w:lang w:eastAsia="ja-JP"/>
        </w:rPr>
        <w:t>After completing the course, students should be able to demonstrate the following competencies:</w:t>
      </w:r>
    </w:p>
    <w:p w:rsidR="004741D8" w:rsidRDefault="00F26C73" w:rsidP="004741D8">
      <w:pPr>
        <w:pStyle w:val="ListParagraph"/>
        <w:numPr>
          <w:ilvl w:val="0"/>
          <w:numId w:val="17"/>
        </w:numPr>
        <w:rPr>
          <w:sz w:val="20"/>
          <w:szCs w:val="20"/>
          <w:lang w:eastAsia="ja-JP"/>
        </w:rPr>
      </w:pPr>
      <w:r w:rsidRPr="00AD631A">
        <w:rPr>
          <w:sz w:val="20"/>
          <w:szCs w:val="20"/>
          <w:lang w:eastAsia="ja-JP"/>
        </w:rPr>
        <w:t xml:space="preserve">Students will be able to </w:t>
      </w:r>
      <w:r w:rsidR="004741D8" w:rsidRPr="004741D8">
        <w:rPr>
          <w:sz w:val="20"/>
          <w:szCs w:val="20"/>
          <w:lang w:eastAsia="ja-JP"/>
        </w:rPr>
        <w:t xml:space="preserve">demonstrate problem solving </w:t>
      </w:r>
      <w:r w:rsidR="00BF6365">
        <w:rPr>
          <w:sz w:val="20"/>
          <w:szCs w:val="20"/>
          <w:lang w:eastAsia="ja-JP"/>
        </w:rPr>
        <w:t xml:space="preserve">and </w:t>
      </w:r>
      <w:r w:rsidR="007C4257" w:rsidRPr="007C4257">
        <w:rPr>
          <w:sz w:val="20"/>
          <w:szCs w:val="20"/>
          <w:lang w:eastAsia="ja-JP"/>
        </w:rPr>
        <w:t xml:space="preserve">critical thinking </w:t>
      </w:r>
      <w:r w:rsidR="004741D8" w:rsidRPr="004741D8">
        <w:rPr>
          <w:sz w:val="20"/>
          <w:szCs w:val="20"/>
          <w:lang w:eastAsia="ja-JP"/>
        </w:rPr>
        <w:t xml:space="preserve">skills using </w:t>
      </w:r>
      <w:r w:rsidR="007C4257">
        <w:rPr>
          <w:sz w:val="20"/>
          <w:szCs w:val="20"/>
          <w:lang w:eastAsia="ja-JP"/>
        </w:rPr>
        <w:t>inductive and deductive reasoning</w:t>
      </w:r>
      <w:r w:rsidR="004741D8" w:rsidRPr="004741D8">
        <w:rPr>
          <w:sz w:val="20"/>
          <w:szCs w:val="20"/>
          <w:lang w:eastAsia="ja-JP"/>
        </w:rPr>
        <w:t>.</w:t>
      </w:r>
    </w:p>
    <w:p w:rsidR="007C4257" w:rsidRPr="00BF6365" w:rsidRDefault="007C4257" w:rsidP="00BF6365">
      <w:pPr>
        <w:pStyle w:val="ListParagraph"/>
        <w:numPr>
          <w:ilvl w:val="0"/>
          <w:numId w:val="17"/>
        </w:numPr>
        <w:rPr>
          <w:sz w:val="20"/>
          <w:szCs w:val="20"/>
          <w:lang w:eastAsia="ja-JP"/>
        </w:rPr>
      </w:pPr>
      <w:r w:rsidRPr="007C4257">
        <w:rPr>
          <w:sz w:val="20"/>
          <w:szCs w:val="20"/>
          <w:lang w:eastAsia="ja-JP"/>
        </w:rPr>
        <w:t xml:space="preserve">Students will be able to demonstrate </w:t>
      </w:r>
      <w:r>
        <w:rPr>
          <w:sz w:val="20"/>
          <w:szCs w:val="20"/>
          <w:lang w:eastAsia="ja-JP"/>
        </w:rPr>
        <w:t>logical thought</w:t>
      </w:r>
      <w:r w:rsidRPr="007C4257">
        <w:rPr>
          <w:sz w:val="20"/>
          <w:szCs w:val="20"/>
          <w:lang w:eastAsia="ja-JP"/>
        </w:rPr>
        <w:t xml:space="preserve"> using sets, logic </w:t>
      </w:r>
      <w:r w:rsidR="00BF6365">
        <w:rPr>
          <w:sz w:val="20"/>
          <w:szCs w:val="20"/>
          <w:lang w:eastAsia="ja-JP"/>
        </w:rPr>
        <w:t xml:space="preserve">statements, </w:t>
      </w:r>
      <w:proofErr w:type="gramStart"/>
      <w:r w:rsidR="00BF6365">
        <w:rPr>
          <w:sz w:val="20"/>
          <w:szCs w:val="20"/>
          <w:lang w:eastAsia="ja-JP"/>
        </w:rPr>
        <w:t>truth</w:t>
      </w:r>
      <w:proofErr w:type="gramEnd"/>
      <w:r w:rsidR="00BF6365">
        <w:rPr>
          <w:sz w:val="20"/>
          <w:szCs w:val="20"/>
          <w:lang w:eastAsia="ja-JP"/>
        </w:rPr>
        <w:t xml:space="preserve"> tables </w:t>
      </w:r>
      <w:r w:rsidRPr="007C4257">
        <w:rPr>
          <w:sz w:val="20"/>
          <w:szCs w:val="20"/>
          <w:lang w:eastAsia="ja-JP"/>
        </w:rPr>
        <w:t>and number theory.</w:t>
      </w:r>
    </w:p>
    <w:p w:rsidR="007C4257" w:rsidRPr="007C4257" w:rsidRDefault="004741D8" w:rsidP="007C4257">
      <w:pPr>
        <w:pStyle w:val="ListParagraph"/>
        <w:numPr>
          <w:ilvl w:val="0"/>
          <w:numId w:val="17"/>
        </w:numPr>
        <w:rPr>
          <w:sz w:val="20"/>
          <w:szCs w:val="20"/>
          <w:lang w:eastAsia="ja-JP"/>
        </w:rPr>
      </w:pPr>
      <w:r w:rsidRPr="007C4257">
        <w:rPr>
          <w:sz w:val="20"/>
          <w:szCs w:val="20"/>
          <w:lang w:eastAsia="ja-JP"/>
        </w:rPr>
        <w:t xml:space="preserve">Students will be able to </w:t>
      </w:r>
      <w:r w:rsidR="007C4257">
        <w:rPr>
          <w:sz w:val="20"/>
          <w:szCs w:val="20"/>
          <w:lang w:eastAsia="ja-JP"/>
        </w:rPr>
        <w:t>r</w:t>
      </w:r>
      <w:r w:rsidR="007C4257" w:rsidRPr="007C4257">
        <w:rPr>
          <w:sz w:val="20"/>
          <w:szCs w:val="20"/>
          <w:lang w:eastAsia="ja-JP"/>
        </w:rPr>
        <w:t>ecognize and apply algebraic relations, functions and graphs.</w:t>
      </w:r>
    </w:p>
    <w:p w:rsidR="004741D8" w:rsidRPr="004741D8" w:rsidRDefault="00F26C73" w:rsidP="004741D8">
      <w:pPr>
        <w:pStyle w:val="ListParagraph"/>
        <w:numPr>
          <w:ilvl w:val="0"/>
          <w:numId w:val="17"/>
        </w:numPr>
        <w:spacing w:line="240" w:lineRule="auto"/>
        <w:rPr>
          <w:rFonts w:eastAsiaTheme="minorEastAsia" w:cs="Arial"/>
          <w:sz w:val="20"/>
          <w:szCs w:val="20"/>
          <w:lang w:eastAsia="ja-JP"/>
        </w:rPr>
      </w:pPr>
      <w:r w:rsidRPr="00AD631A">
        <w:rPr>
          <w:rFonts w:eastAsiaTheme="minorEastAsia" w:cs="Arial"/>
          <w:sz w:val="20"/>
          <w:szCs w:val="20"/>
          <w:lang w:eastAsia="ja-JP"/>
        </w:rPr>
        <w:t xml:space="preserve">Students will be able to </w:t>
      </w:r>
      <w:r w:rsidR="004741D8">
        <w:rPr>
          <w:rFonts w:eastAsiaTheme="minorEastAsia" w:cs="Arial"/>
          <w:sz w:val="20"/>
          <w:szCs w:val="20"/>
          <w:lang w:eastAsia="ja-JP"/>
        </w:rPr>
        <w:t>e</w:t>
      </w:r>
      <w:r w:rsidR="004741D8" w:rsidRPr="004741D8">
        <w:rPr>
          <w:rFonts w:eastAsiaTheme="minorEastAsia" w:cs="Arial"/>
          <w:sz w:val="20"/>
          <w:szCs w:val="20"/>
          <w:lang w:eastAsia="ja-JP"/>
        </w:rPr>
        <w:t>valuate applications containing metric system units and perform unit conversions.</w:t>
      </w:r>
    </w:p>
    <w:p w:rsidR="00F26C73" w:rsidRPr="004741D8" w:rsidRDefault="00F26C73" w:rsidP="004741D8">
      <w:pPr>
        <w:pStyle w:val="ListParagraph"/>
        <w:numPr>
          <w:ilvl w:val="0"/>
          <w:numId w:val="17"/>
        </w:numPr>
        <w:spacing w:line="240" w:lineRule="auto"/>
        <w:rPr>
          <w:rFonts w:eastAsiaTheme="minorEastAsia" w:cs="Arial"/>
          <w:sz w:val="20"/>
          <w:szCs w:val="20"/>
          <w:lang w:eastAsia="ja-JP"/>
        </w:rPr>
      </w:pPr>
      <w:r w:rsidRPr="00AD631A">
        <w:rPr>
          <w:rFonts w:eastAsiaTheme="minorEastAsia" w:cs="Arial"/>
          <w:sz w:val="20"/>
          <w:szCs w:val="20"/>
          <w:lang w:eastAsia="ja-JP"/>
        </w:rPr>
        <w:t xml:space="preserve">Students will be able to </w:t>
      </w:r>
      <w:r w:rsidR="004741D8">
        <w:rPr>
          <w:rFonts w:eastAsiaTheme="minorEastAsia" w:cs="Arial"/>
          <w:sz w:val="20"/>
          <w:szCs w:val="20"/>
          <w:lang w:eastAsia="ja-JP"/>
        </w:rPr>
        <w:t>e</w:t>
      </w:r>
      <w:r w:rsidR="004741D8" w:rsidRPr="004741D8">
        <w:rPr>
          <w:rFonts w:eastAsiaTheme="minorEastAsia" w:cs="Arial"/>
          <w:sz w:val="20"/>
          <w:szCs w:val="20"/>
          <w:lang w:eastAsia="ja-JP"/>
        </w:rPr>
        <w:t>valuate applications involving consumer and finance mathematics.</w:t>
      </w:r>
    </w:p>
    <w:p w:rsidR="004741D8" w:rsidRPr="004741D8" w:rsidRDefault="00F26C73" w:rsidP="004741D8">
      <w:pPr>
        <w:pStyle w:val="ListParagraph"/>
        <w:numPr>
          <w:ilvl w:val="0"/>
          <w:numId w:val="17"/>
        </w:numPr>
        <w:spacing w:line="240" w:lineRule="auto"/>
        <w:rPr>
          <w:rFonts w:eastAsiaTheme="minorEastAsia" w:cs="Arial"/>
          <w:color w:val="000000"/>
          <w:sz w:val="20"/>
          <w:szCs w:val="20"/>
        </w:rPr>
      </w:pPr>
      <w:r w:rsidRPr="00AD631A">
        <w:rPr>
          <w:rFonts w:eastAsiaTheme="minorEastAsia" w:cs="Arial"/>
          <w:color w:val="000000"/>
          <w:sz w:val="20"/>
          <w:szCs w:val="20"/>
        </w:rPr>
        <w:t xml:space="preserve">Students will be able to </w:t>
      </w:r>
      <w:r w:rsidR="007C4257">
        <w:rPr>
          <w:rFonts w:eastAsiaTheme="minorEastAsia" w:cs="Arial"/>
          <w:color w:val="000000"/>
          <w:sz w:val="20"/>
          <w:szCs w:val="20"/>
        </w:rPr>
        <w:t>d</w:t>
      </w:r>
      <w:r w:rsidR="004741D8" w:rsidRPr="004741D8">
        <w:rPr>
          <w:rFonts w:eastAsiaTheme="minorEastAsia" w:cs="Arial"/>
          <w:color w:val="000000"/>
          <w:sz w:val="20"/>
          <w:szCs w:val="20"/>
        </w:rPr>
        <w:t>emonstrate and apply knowledge of probability and statistics.</w:t>
      </w:r>
    </w:p>
    <w:p w:rsidR="004741D8" w:rsidRPr="007C4257" w:rsidRDefault="00F26C73" w:rsidP="007C4257">
      <w:pPr>
        <w:pStyle w:val="ListParagraph"/>
        <w:numPr>
          <w:ilvl w:val="0"/>
          <w:numId w:val="17"/>
        </w:numPr>
        <w:spacing w:line="240" w:lineRule="auto"/>
        <w:rPr>
          <w:rFonts w:eastAsiaTheme="minorEastAsia" w:cs="Arial"/>
          <w:color w:val="000000"/>
          <w:sz w:val="20"/>
          <w:szCs w:val="20"/>
        </w:rPr>
      </w:pPr>
      <w:r w:rsidRPr="00AD631A">
        <w:rPr>
          <w:rFonts w:eastAsiaTheme="minorEastAsia" w:cs="Arial"/>
          <w:color w:val="000000"/>
          <w:sz w:val="20"/>
          <w:szCs w:val="20"/>
        </w:rPr>
        <w:t xml:space="preserve">Students will be able to </w:t>
      </w:r>
      <w:r w:rsidR="007C4257">
        <w:rPr>
          <w:rFonts w:eastAsiaTheme="minorEastAsia" w:cs="Arial"/>
          <w:color w:val="000000"/>
          <w:sz w:val="20"/>
          <w:szCs w:val="20"/>
        </w:rPr>
        <w:t>d</w:t>
      </w:r>
      <w:r w:rsidR="007C4257" w:rsidRPr="007C4257">
        <w:rPr>
          <w:rFonts w:eastAsiaTheme="minorEastAsia" w:cs="Arial"/>
          <w:color w:val="000000"/>
          <w:sz w:val="20"/>
          <w:szCs w:val="20"/>
        </w:rPr>
        <w:t>emonstrate and apply knowledge in applications involving voting and apportionment methods.</w:t>
      </w:r>
    </w:p>
    <w:p w:rsidR="00313EDF" w:rsidRPr="007E20D3" w:rsidRDefault="00313EDF" w:rsidP="00BF6D21">
      <w:pPr>
        <w:pStyle w:val="Heading2"/>
        <w:spacing w:after="60"/>
      </w:pPr>
      <w:r w:rsidRPr="007E20D3">
        <w:t>Course Competencies</w:t>
      </w:r>
    </w:p>
    <w:p w:rsidR="00F26C73" w:rsidRPr="00EC5C60" w:rsidRDefault="00F26C73" w:rsidP="00AD631A">
      <w:pPr>
        <w:numPr>
          <w:ilvl w:val="0"/>
          <w:numId w:val="16"/>
        </w:numPr>
        <w:spacing w:after="0" w:line="240" w:lineRule="auto"/>
        <w:rPr>
          <w:rFonts w:eastAsiaTheme="minorEastAsia" w:cs="Arial"/>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problem solving and critical thinking</w:t>
      </w:r>
      <w:r w:rsidRPr="00AD631A">
        <w:rPr>
          <w:rFonts w:eastAsiaTheme="minorEastAsia" w:cs="Arial"/>
          <w:color w:val="000000"/>
          <w:sz w:val="20"/>
          <w:szCs w:val="20"/>
        </w:rPr>
        <w:t>, a student should be able to:</w:t>
      </w:r>
    </w:p>
    <w:p w:rsidR="007C4257" w:rsidRDefault="007C4257" w:rsidP="00EC5C60">
      <w:pPr>
        <w:numPr>
          <w:ilvl w:val="1"/>
          <w:numId w:val="37"/>
        </w:numPr>
        <w:tabs>
          <w:tab w:val="left" w:pos="1080"/>
        </w:tabs>
        <w:spacing w:after="0" w:line="240" w:lineRule="auto"/>
        <w:rPr>
          <w:rFonts w:eastAsiaTheme="minorEastAsia" w:cs="Arial"/>
          <w:sz w:val="20"/>
          <w:szCs w:val="20"/>
        </w:rPr>
      </w:pPr>
      <w:r w:rsidRPr="00EC5C60">
        <w:rPr>
          <w:rFonts w:eastAsiaTheme="minorEastAsia" w:cs="Arial"/>
          <w:sz w:val="20"/>
          <w:szCs w:val="20"/>
        </w:rPr>
        <w:lastRenderedPageBreak/>
        <w:t>Identify and use inductive and deductive reasoning to reach conclusions.</w:t>
      </w:r>
    </w:p>
    <w:p w:rsidR="007C4257" w:rsidRPr="00EC5C60" w:rsidRDefault="007C4257" w:rsidP="00EC5C60">
      <w:pPr>
        <w:numPr>
          <w:ilvl w:val="1"/>
          <w:numId w:val="37"/>
        </w:numPr>
        <w:tabs>
          <w:tab w:val="left" w:pos="1080"/>
        </w:tabs>
        <w:spacing w:after="0" w:line="240" w:lineRule="auto"/>
        <w:rPr>
          <w:rFonts w:eastAsiaTheme="minorEastAsia" w:cs="Arial"/>
          <w:sz w:val="20"/>
          <w:szCs w:val="20"/>
        </w:rPr>
      </w:pPr>
      <w:r w:rsidRPr="00EC5C60">
        <w:rPr>
          <w:rFonts w:eastAsiaTheme="minorEastAsia" w:cs="Arial"/>
          <w:sz w:val="20"/>
          <w:szCs w:val="20"/>
        </w:rPr>
        <w:t>Use approximation/estimation to determine reasonableness of results.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Organize and use information in word problems to solve them.</w:t>
      </w:r>
    </w:p>
    <w:p w:rsid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Interpret bar and line graphs, pie charts and tables.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set notation to describe and list various types of 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Recognize equivalent sets and equal sets and the null set.</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Determine the cardinal number of a set.</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Identify and describe subsets and determine numbers of distinct subsets.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Venn Diagrams to illustrate relationships among sets and to demonstrate survey results.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Determine unions and intersections, complements of sets.</w:t>
      </w:r>
    </w:p>
    <w:p w:rsidR="007C4257" w:rsidRPr="007C4257" w:rsidRDefault="007C4257" w:rsidP="00EC5C60">
      <w:pPr>
        <w:numPr>
          <w:ilvl w:val="1"/>
          <w:numId w:val="37"/>
        </w:numPr>
        <w:tabs>
          <w:tab w:val="left" w:pos="1080"/>
        </w:tabs>
        <w:spacing w:after="0" w:line="240" w:lineRule="auto"/>
        <w:rPr>
          <w:rFonts w:eastAsiaTheme="minorEastAsia" w:cs="Arial"/>
          <w:sz w:val="20"/>
          <w:szCs w:val="20"/>
        </w:rPr>
      </w:pPr>
      <w:r w:rsidRPr="007C4257">
        <w:rPr>
          <w:rFonts w:eastAsiaTheme="minorEastAsia" w:cs="Arial"/>
          <w:sz w:val="20"/>
          <w:szCs w:val="20"/>
        </w:rPr>
        <w:t>Use number theory to determine divisibility rules.</w:t>
      </w:r>
    </w:p>
    <w:p w:rsidR="007C4257" w:rsidRPr="007C4257" w:rsidRDefault="007C4257" w:rsidP="007C4257">
      <w:pPr>
        <w:spacing w:after="0" w:line="240" w:lineRule="auto"/>
        <w:ind w:left="720"/>
        <w:rPr>
          <w:rFonts w:eastAsiaTheme="minorEastAsia" w:cs="Arial"/>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logical thought</w:t>
      </w:r>
      <w:r w:rsidRPr="00AD631A">
        <w:rPr>
          <w:rFonts w:eastAsiaTheme="minorEastAsia" w:cs="Arial"/>
          <w:color w:val="000000"/>
          <w:sz w:val="20"/>
          <w:szCs w:val="20"/>
        </w:rPr>
        <w:t>, a student should be able to:</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Interpret and express statements in symbolic form.</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Express negations of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Determine truth values of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Interpret and use connectors to express compound statements.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Construct truth tables.</w:t>
      </w:r>
    </w:p>
    <w:p w:rsidR="00BF6365" w:rsidRPr="00BF6365" w:rsidRDefault="00BF6365" w:rsidP="00EC5C60">
      <w:pPr>
        <w:numPr>
          <w:ilvl w:val="1"/>
          <w:numId w:val="16"/>
        </w:numPr>
        <w:spacing w:after="0" w:line="240" w:lineRule="auto"/>
        <w:rPr>
          <w:rFonts w:eastAsiaTheme="minorEastAsia" w:cs="Arial"/>
          <w:sz w:val="20"/>
          <w:szCs w:val="20"/>
        </w:rPr>
      </w:pPr>
      <w:r w:rsidRPr="00BF6365">
        <w:rPr>
          <w:rFonts w:eastAsiaTheme="minorEastAsia" w:cs="Arial"/>
          <w:sz w:val="20"/>
          <w:szCs w:val="20"/>
        </w:rPr>
        <w:t>Determine logical equivalence of statements.</w:t>
      </w:r>
    </w:p>
    <w:p w:rsidR="00F26C73" w:rsidRPr="00AD631A" w:rsidRDefault="00F26C73" w:rsidP="00AD631A">
      <w:pPr>
        <w:spacing w:after="0" w:line="240" w:lineRule="auto"/>
        <w:ind w:left="1170"/>
        <w:rPr>
          <w:rFonts w:eastAsiaTheme="minorEastAsia" w:cs="Arial"/>
          <w:color w:val="FF0000"/>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algebraic relations, functions and graphs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order of operations.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Evaluate formulas and solve for specified variables.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Identify algebraic relations and functions.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linear equations.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linear inequalities.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Solve and apply quadratic equations.</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Graph linear, quadratic and exponential equations.</w:t>
      </w:r>
    </w:p>
    <w:p w:rsidR="00F26C73" w:rsidRPr="00AD631A" w:rsidRDefault="00F26C73" w:rsidP="00AD631A">
      <w:pPr>
        <w:spacing w:after="0" w:line="240" w:lineRule="auto"/>
        <w:rPr>
          <w:rFonts w:cs="Arial"/>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 To demonstrate competency in </w:t>
      </w:r>
      <w:r w:rsidR="00BF6365">
        <w:rPr>
          <w:rFonts w:eastAsiaTheme="minorEastAsia" w:cs="Arial"/>
          <w:color w:val="000000"/>
          <w:sz w:val="20"/>
          <w:szCs w:val="20"/>
        </w:rPr>
        <w:t xml:space="preserve">the </w:t>
      </w:r>
      <w:r w:rsidR="00BF6365" w:rsidRPr="00BF6365">
        <w:rPr>
          <w:rFonts w:eastAsiaTheme="minorEastAsia" w:cs="Arial"/>
          <w:color w:val="000000"/>
          <w:sz w:val="20"/>
          <w:szCs w:val="20"/>
        </w:rPr>
        <w:t>metric system and unit conversions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metric units and do conversions within the metric system.</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Determine length, area, volume, mass and temperature in the metric system.</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sz w:val="20"/>
          <w:szCs w:val="20"/>
        </w:rPr>
        <w:t>Use dimensional analysis to convert units to and from the metric system.</w:t>
      </w:r>
    </w:p>
    <w:p w:rsidR="00F26C73" w:rsidRPr="00AD631A" w:rsidRDefault="00F26C73" w:rsidP="00AD631A">
      <w:pPr>
        <w:tabs>
          <w:tab w:val="left" w:pos="1170"/>
        </w:tabs>
        <w:spacing w:after="0" w:line="240" w:lineRule="auto"/>
        <w:rPr>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consumer and finance mathematics</w:t>
      </w:r>
      <w:r w:rsidRPr="00AD631A">
        <w:rPr>
          <w:rFonts w:eastAsiaTheme="minorEastAsia" w:cs="Arial"/>
          <w:color w:val="000000"/>
          <w:sz w:val="20"/>
          <w:szCs w:val="20"/>
        </w:rPr>
        <w:t>,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Use percents, fractions, and decimals.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percent increases and decreases.</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simple interest.</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compound interest</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Determine present value.</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payments, interest on amortized loans.</w:t>
      </w:r>
    </w:p>
    <w:p w:rsidR="00BF6365" w:rsidRP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Calculate future value, payments and interest on annuities.</w:t>
      </w:r>
    </w:p>
    <w:p w:rsidR="00F26C73" w:rsidRPr="00AD631A" w:rsidRDefault="00F26C73" w:rsidP="00AD631A">
      <w:pPr>
        <w:spacing w:after="0" w:line="240" w:lineRule="auto"/>
        <w:ind w:left="1080"/>
        <w:contextualSpacing/>
        <w:rPr>
          <w:rFonts w:eastAsiaTheme="minorEastAsia" w:cs="Arial"/>
          <w:color w:val="000000"/>
          <w:sz w:val="20"/>
          <w:szCs w:val="20"/>
        </w:rPr>
      </w:pPr>
    </w:p>
    <w:p w:rsidR="00EC5C60" w:rsidRDefault="00F26C73" w:rsidP="00EC5C60">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00BF6365" w:rsidRPr="00BF6365">
        <w:rPr>
          <w:rFonts w:eastAsiaTheme="minorEastAsia" w:cs="Arial"/>
          <w:color w:val="000000"/>
          <w:sz w:val="20"/>
          <w:szCs w:val="20"/>
        </w:rPr>
        <w:t>probability and statistics</w:t>
      </w:r>
      <w:r w:rsidR="00BF6365">
        <w:rPr>
          <w:rFonts w:eastAsiaTheme="minorEastAsia" w:cs="Arial"/>
          <w:color w:val="000000"/>
          <w:sz w:val="20"/>
          <w:szCs w:val="20"/>
        </w:rPr>
        <w:t>,</w:t>
      </w:r>
      <w:r w:rsidRPr="00AD631A">
        <w:rPr>
          <w:rFonts w:eastAsiaTheme="minorEastAsia" w:cs="Arial"/>
          <w:color w:val="000000"/>
          <w:sz w:val="20"/>
          <w:szCs w:val="20"/>
        </w:rPr>
        <w:t xml:space="preserve"> a student should be able to:</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Identify and calculate empirical probability.</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Identify and calculate theoretical probability.</w:t>
      </w:r>
    </w:p>
    <w:p w:rsidR="00EC5C60"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Determine odds against and in favor of an event.</w:t>
      </w:r>
    </w:p>
    <w:p w:rsidR="00BF6365" w:rsidRPr="001F3671" w:rsidRDefault="00BF6365" w:rsidP="00EC5C60">
      <w:pPr>
        <w:numPr>
          <w:ilvl w:val="1"/>
          <w:numId w:val="16"/>
        </w:numPr>
        <w:spacing w:after="0" w:line="240" w:lineRule="auto"/>
        <w:contextualSpacing/>
        <w:rPr>
          <w:rFonts w:eastAsiaTheme="minorEastAsia"/>
          <w:sz w:val="20"/>
          <w:szCs w:val="20"/>
        </w:rPr>
      </w:pPr>
      <w:r w:rsidRPr="00EC5C60">
        <w:rPr>
          <w:rFonts w:eastAsiaTheme="minorEastAsia" w:cs="Arial"/>
          <w:color w:val="000000"/>
          <w:sz w:val="20"/>
          <w:szCs w:val="20"/>
        </w:rPr>
        <w:t>Create, interpret, and apply frequency distributions and statistical graphs.</w:t>
      </w:r>
    </w:p>
    <w:p w:rsidR="001F3671" w:rsidRPr="001F3671" w:rsidRDefault="001F3671" w:rsidP="001F3671">
      <w:pPr>
        <w:numPr>
          <w:ilvl w:val="1"/>
          <w:numId w:val="16"/>
        </w:numPr>
        <w:spacing w:after="0" w:line="240" w:lineRule="auto"/>
        <w:contextualSpacing/>
        <w:rPr>
          <w:rFonts w:eastAsiaTheme="minorEastAsia"/>
          <w:sz w:val="20"/>
          <w:szCs w:val="20"/>
        </w:rPr>
      </w:pPr>
      <w:r>
        <w:rPr>
          <w:rFonts w:eastAsiaTheme="minorEastAsia"/>
          <w:sz w:val="20"/>
          <w:szCs w:val="20"/>
        </w:rPr>
        <w:t>Calculate and interpret common measures of central tendency such as mean, median, mode and mid-range.</w:t>
      </w:r>
    </w:p>
    <w:p w:rsidR="00BF6365" w:rsidRPr="00BF6365" w:rsidRDefault="00BF6365" w:rsidP="00BF6365">
      <w:pPr>
        <w:spacing w:after="0" w:line="240" w:lineRule="auto"/>
        <w:ind w:left="1170"/>
        <w:contextualSpacing/>
        <w:rPr>
          <w:rFonts w:eastAsiaTheme="minorEastAsia"/>
          <w:sz w:val="20"/>
          <w:szCs w:val="20"/>
        </w:rPr>
      </w:pPr>
    </w:p>
    <w:p w:rsidR="00BF6365" w:rsidRPr="00AD631A" w:rsidRDefault="00BF6365" w:rsidP="00BF6365">
      <w:pPr>
        <w:numPr>
          <w:ilvl w:val="0"/>
          <w:numId w:val="16"/>
        </w:numPr>
        <w:spacing w:after="0" w:line="240" w:lineRule="auto"/>
        <w:contextualSpacing/>
        <w:rPr>
          <w:rFonts w:eastAsiaTheme="minorEastAsia"/>
          <w:sz w:val="20"/>
          <w:szCs w:val="20"/>
        </w:rPr>
      </w:pPr>
      <w:r w:rsidRPr="00AD631A">
        <w:rPr>
          <w:rFonts w:eastAsiaTheme="minorEastAsia" w:cs="Arial"/>
          <w:color w:val="000000"/>
          <w:sz w:val="20"/>
          <w:szCs w:val="20"/>
        </w:rPr>
        <w:t xml:space="preserve">To demonstrate competency in </w:t>
      </w:r>
      <w:r w:rsidRPr="00BF6365">
        <w:rPr>
          <w:rFonts w:eastAsiaTheme="minorEastAsia" w:cs="Arial"/>
          <w:color w:val="000000"/>
          <w:sz w:val="20"/>
          <w:szCs w:val="20"/>
        </w:rPr>
        <w:t>voting and apportionment methods.</w:t>
      </w:r>
      <w:r w:rsidRPr="00AD631A">
        <w:rPr>
          <w:rFonts w:eastAsiaTheme="minorEastAsia" w:cs="Arial"/>
          <w:color w:val="000000"/>
          <w:sz w:val="20"/>
          <w:szCs w:val="20"/>
        </w:rPr>
        <w:t>, a student should be able to:</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Construct and use preference tables.</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and use:</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lastRenderedPageBreak/>
        <w:t>the Plurality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 xml:space="preserve">the </w:t>
      </w:r>
      <w:proofErr w:type="spellStart"/>
      <w:r w:rsidRPr="00BF6365">
        <w:rPr>
          <w:rFonts w:eastAsiaTheme="minorEastAsia" w:cs="Arial"/>
          <w:color w:val="000000"/>
          <w:sz w:val="20"/>
          <w:szCs w:val="20"/>
        </w:rPr>
        <w:t>Borda</w:t>
      </w:r>
      <w:proofErr w:type="spellEnd"/>
      <w:r w:rsidRPr="00BF6365">
        <w:rPr>
          <w:rFonts w:eastAsiaTheme="minorEastAsia" w:cs="Arial"/>
          <w:color w:val="000000"/>
          <w:sz w:val="20"/>
          <w:szCs w:val="20"/>
        </w:rPr>
        <w:t xml:space="preserve"> Count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the Plurality with Elimination voting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proofErr w:type="gramStart"/>
      <w:r w:rsidRPr="00BF6365">
        <w:rPr>
          <w:rFonts w:eastAsiaTheme="minorEastAsia" w:cs="Arial"/>
          <w:color w:val="000000"/>
          <w:sz w:val="20"/>
          <w:szCs w:val="20"/>
        </w:rPr>
        <w:t>the</w:t>
      </w:r>
      <w:proofErr w:type="gramEnd"/>
      <w:r w:rsidRPr="00BF6365">
        <w:rPr>
          <w:rFonts w:eastAsiaTheme="minorEastAsia" w:cs="Arial"/>
          <w:color w:val="000000"/>
          <w:sz w:val="20"/>
          <w:szCs w:val="20"/>
        </w:rPr>
        <w:t xml:space="preserve"> Pairwise Comparison voting method.</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the flaws in voting methods.</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and use:</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Hamilton’s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Jefferson’s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Webster’s Apportionment method,</w:t>
      </w:r>
    </w:p>
    <w:p w:rsidR="00BF6365" w:rsidRPr="00BF6365" w:rsidRDefault="00BF6365" w:rsidP="00BF6365">
      <w:pPr>
        <w:numPr>
          <w:ilvl w:val="2"/>
          <w:numId w:val="16"/>
        </w:numPr>
        <w:spacing w:after="0" w:line="240" w:lineRule="auto"/>
        <w:contextualSpacing/>
        <w:rPr>
          <w:rFonts w:eastAsiaTheme="minorEastAsia" w:cs="Arial"/>
          <w:color w:val="000000"/>
          <w:sz w:val="20"/>
          <w:szCs w:val="20"/>
        </w:rPr>
      </w:pPr>
      <w:r w:rsidRPr="00BF6365">
        <w:rPr>
          <w:rFonts w:eastAsiaTheme="minorEastAsia" w:cs="Arial"/>
          <w:color w:val="000000"/>
          <w:sz w:val="20"/>
          <w:szCs w:val="20"/>
        </w:rPr>
        <w:t>Adams’s Apportionment method.</w:t>
      </w:r>
    </w:p>
    <w:p w:rsidR="00BF6365" w:rsidRPr="00BF6365" w:rsidRDefault="00BF6365" w:rsidP="00BF6365">
      <w:pPr>
        <w:numPr>
          <w:ilvl w:val="1"/>
          <w:numId w:val="16"/>
        </w:numPr>
        <w:spacing w:after="0" w:line="240" w:lineRule="auto"/>
        <w:ind w:left="1170" w:hanging="450"/>
        <w:contextualSpacing/>
        <w:rPr>
          <w:rFonts w:eastAsiaTheme="minorEastAsia" w:cs="Arial"/>
          <w:color w:val="000000"/>
          <w:sz w:val="20"/>
          <w:szCs w:val="20"/>
        </w:rPr>
      </w:pPr>
      <w:r w:rsidRPr="00BF6365">
        <w:rPr>
          <w:rFonts w:eastAsiaTheme="minorEastAsia" w:cs="Arial"/>
          <w:color w:val="000000"/>
          <w:sz w:val="20"/>
          <w:szCs w:val="20"/>
        </w:rPr>
        <w:t>Identify the flaws in apportionment methods.</w:t>
      </w:r>
    </w:p>
    <w:p w:rsidR="00754638" w:rsidRDefault="004A5658" w:rsidP="007E20D3">
      <w:pPr>
        <w:pStyle w:val="Heading1"/>
      </w:pPr>
      <w:r w:rsidRPr="007E20D3">
        <w:t>Course Policies</w:t>
      </w:r>
    </w:p>
    <w:p w:rsidR="00ED31AA" w:rsidRPr="00CF54F1" w:rsidRDefault="00ED31AA" w:rsidP="00ED31AA">
      <w:pPr>
        <w:pStyle w:val="Heading2"/>
        <w:spacing w:after="60"/>
      </w:pPr>
      <w:r w:rsidRPr="00CF54F1">
        <w:t>Drop Policy</w:t>
      </w:r>
    </w:p>
    <w:p w:rsidR="00ED31AA" w:rsidRDefault="00ED31AA" w:rsidP="00ED31AA">
      <w:r w:rsidRPr="00CF54F1">
        <w:t>If you withdraw from the course for any reason, you must</w:t>
      </w:r>
      <w:r>
        <w:t xml:space="preserve"> follow University procedures. </w:t>
      </w:r>
      <w:r w:rsidRPr="00CF54F1">
        <w:t>It is your responsibility to execute these procedures corre</w:t>
      </w:r>
      <w:r>
        <w:t>ctly and within the deadlines. </w:t>
      </w:r>
      <w:r w:rsidRPr="00CF54F1">
        <w:t xml:space="preserve"> </w:t>
      </w:r>
      <w:r w:rsidRPr="00CF54F1">
        <w:rPr>
          <w:b/>
          <w:u w:val="single"/>
        </w:rPr>
        <w:t>Instructors are unable to drop students</w:t>
      </w:r>
      <w:r>
        <w:t>.</w:t>
      </w:r>
      <w:r w:rsidRPr="00CF54F1">
        <w:t xml:space="preserve"> The Math Department Office can hel</w:t>
      </w:r>
      <w:r>
        <w:t xml:space="preserve">p with the withdrawal process. </w:t>
      </w:r>
      <w:r w:rsidRPr="00CF54F1">
        <w:t xml:space="preserve">We strongly recommend that you drop the course if you are significantly behind in completing the required assignments. </w:t>
      </w:r>
      <w:r w:rsidRPr="00FA6D44">
        <w:t xml:space="preserve">Students may drop or swap (adding and dropping a class concurrently) classes through self-service in </w:t>
      </w:r>
      <w:proofErr w:type="spellStart"/>
      <w:r w:rsidRPr="00FA6D44">
        <w:t>MyMav</w:t>
      </w:r>
      <w:proofErr w:type="spellEnd"/>
      <w:r w:rsidRPr="00FA6D44">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w:t>
      </w:r>
      <w:r w:rsidRPr="00E8271B">
        <w:t xml:space="preserve"> It is the student’s responsibility to officially withdraw if they do not plan to attend after registering.  </w:t>
      </w:r>
      <w:r w:rsidRPr="00FA6D44">
        <w:rPr>
          <w:b/>
        </w:rPr>
        <w:t>Students will not be automatically dropped for non-attendance.</w:t>
      </w:r>
      <w:r w:rsidRPr="00E8271B">
        <w:t xml:space="preserve">  Repayment of certain types of financial aid administered through the University may be required as the result of dropping classes or withdrawing.  For more information, contact the Office of Financial Aid and Scholarships (</w:t>
      </w:r>
      <w:hyperlink r:id="rId17" w:history="1">
        <w:r w:rsidRPr="009B02F3">
          <w:rPr>
            <w:rStyle w:val="Hyperlink"/>
          </w:rPr>
          <w:t>http://wweb.uta.edu/aao/fao</w:t>
        </w:r>
      </w:hyperlink>
      <w:r w:rsidRPr="00E8271B">
        <w:t>).</w:t>
      </w:r>
    </w:p>
    <w:p w:rsidR="00ED31AA" w:rsidRPr="007E20D3" w:rsidRDefault="00ED31AA" w:rsidP="00ED31AA">
      <w:pPr>
        <w:pStyle w:val="Heading2"/>
        <w:spacing w:after="60" w:line="240" w:lineRule="auto"/>
      </w:pPr>
      <w:r w:rsidRPr="007E20D3">
        <w:t>Accommodations and Americans with Disabilities Act</w:t>
      </w:r>
    </w:p>
    <w:p w:rsidR="00ED31AA" w:rsidRPr="0065732A" w:rsidRDefault="00ED31AA" w:rsidP="00ED31AA">
      <w:pPr>
        <w:spacing w:after="120"/>
        <w:rPr>
          <w:color w:val="000000"/>
        </w:rPr>
      </w:pPr>
      <w:r w:rsidRPr="00AD631A">
        <w:rPr>
          <w:color w:val="000000"/>
        </w:rPr>
        <w:t xml:space="preserve">The University of Texas at </w:t>
      </w:r>
      <w:r w:rsidRPr="0065732A">
        <w:rPr>
          <w:color w:val="000000"/>
        </w:rPr>
        <w:t xml:space="preserve">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rsidR="00ED31AA" w:rsidRPr="0065732A" w:rsidRDefault="00ED31AA" w:rsidP="00ED31AA">
      <w:pPr>
        <w:spacing w:after="0"/>
        <w:rPr>
          <w:color w:val="000000"/>
        </w:rPr>
      </w:pPr>
      <w:r w:rsidRPr="0065732A">
        <w:rPr>
          <w:color w:val="000000"/>
        </w:rPr>
        <w:t>The Office for Students with Disabilities, (OSD</w:t>
      </w:r>
      <w:proofErr w:type="gramStart"/>
      <w:r w:rsidRPr="0065732A">
        <w:rPr>
          <w:color w:val="000000"/>
        </w:rPr>
        <w:t xml:space="preserve">)  </w:t>
      </w:r>
      <w:proofErr w:type="gramEnd"/>
      <w:r>
        <w:rPr>
          <w:color w:val="000000"/>
        </w:rPr>
        <w:fldChar w:fldCharType="begin"/>
      </w:r>
      <w:r>
        <w:rPr>
          <w:color w:val="000000"/>
        </w:rPr>
        <w:instrText xml:space="preserve"> HYPERLINK "http://</w:instrText>
      </w:r>
      <w:r w:rsidRPr="0065732A">
        <w:rPr>
          <w:color w:val="000000"/>
        </w:rPr>
        <w:instrText>www.uta.edu/</w:instrText>
      </w:r>
      <w:r>
        <w:rPr>
          <w:color w:val="000000"/>
        </w:rPr>
        <w:instrText xml:space="preserve">" </w:instrText>
      </w:r>
      <w:r>
        <w:rPr>
          <w:color w:val="000000"/>
        </w:rPr>
        <w:fldChar w:fldCharType="separate"/>
      </w:r>
      <w:r w:rsidRPr="00D125D1">
        <w:rPr>
          <w:rStyle w:val="Hyperlink"/>
        </w:rPr>
        <w:t>www.uta.edu/</w:t>
      </w:r>
      <w:r>
        <w:rPr>
          <w:color w:val="000000"/>
        </w:rPr>
        <w:fldChar w:fldCharType="end"/>
      </w:r>
      <w:r w:rsidRPr="0065732A">
        <w:rPr>
          <w:color w:val="000000"/>
        </w:rPr>
        <w:t>disability or calling 817-272-3364.</w:t>
      </w:r>
    </w:p>
    <w:p w:rsidR="00ED31AA" w:rsidRDefault="00ED31AA" w:rsidP="00ED31AA">
      <w:pPr>
        <w:rPr>
          <w:color w:val="000000"/>
        </w:rPr>
      </w:pPr>
      <w:proofErr w:type="gramStart"/>
      <w:r w:rsidRPr="0065732A">
        <w:rPr>
          <w:color w:val="000000"/>
        </w:rPr>
        <w:t xml:space="preserve">Counseling and Psychological Services, (CAPS)   </w:t>
      </w:r>
      <w:hyperlink r:id="rId18" w:history="1">
        <w:r w:rsidRPr="00D125D1">
          <w:rPr>
            <w:rStyle w:val="Hyperlink"/>
          </w:rPr>
          <w:t>www.uta.edu/caps/</w:t>
        </w:r>
      </w:hyperlink>
      <w:r>
        <w:rPr>
          <w:color w:val="000000"/>
        </w:rPr>
        <w:t xml:space="preserve"> </w:t>
      </w:r>
      <w:r w:rsidRPr="0065732A">
        <w:rPr>
          <w:color w:val="000000"/>
        </w:rPr>
        <w:t>or calling 817-272-3671.</w:t>
      </w:r>
      <w:proofErr w:type="gramEnd"/>
    </w:p>
    <w:p w:rsidR="00ED31AA" w:rsidRDefault="00ED31AA" w:rsidP="00ED31AA">
      <w:pPr>
        <w:rPr>
          <w:color w:val="000000"/>
        </w:rPr>
      </w:pPr>
      <w:r w:rsidRPr="0065732A">
        <w:rPr>
          <w:color w:val="000000"/>
        </w:rPr>
        <w:t xml:space="preserve">Only those students who have officially documented a need for an accommodation will have their request honored. Information regarding diagnostic criteria and policies for obtaining disability-based academic </w:t>
      </w:r>
      <w:r w:rsidRPr="0065732A">
        <w:rPr>
          <w:color w:val="000000"/>
        </w:rPr>
        <w:lastRenderedPageBreak/>
        <w:t>accommodations can be found at www.uta.edu/disability or by calling the Office for Students with Disabilities at (817) 272-3364.</w:t>
      </w:r>
    </w:p>
    <w:p w:rsidR="00ED31AA" w:rsidRDefault="00ED31AA" w:rsidP="00ED31AA">
      <w:pPr>
        <w:pStyle w:val="Heading2"/>
        <w:spacing w:after="60" w:line="240" w:lineRule="auto"/>
      </w:pPr>
      <w:r>
        <w:t>Grade Grievances</w:t>
      </w:r>
    </w:p>
    <w:p w:rsidR="00ED31AA" w:rsidRPr="0065732A" w:rsidRDefault="00ED31AA" w:rsidP="00ED31AA">
      <w:r w:rsidRPr="0065732A">
        <w:t>Any appeal of a grade in this course must follow the procedures and deadlines for grade-related grievances as published in the current University Catalog. For undergraduate courses</w:t>
      </w:r>
      <w:r>
        <w:t xml:space="preserve"> including this one</w:t>
      </w:r>
      <w:r w:rsidRPr="0065732A">
        <w:t xml:space="preserve">, see </w:t>
      </w:r>
      <w:hyperlink r:id="rId19" w:anchor="undergraduatetext" w:history="1">
        <w:r w:rsidRPr="00D125D1">
          <w:rPr>
            <w:rStyle w:val="Hyperlink"/>
          </w:rPr>
          <w:t>http://catalog.uta.edu/academicregu</w:t>
        </w:r>
        <w:r w:rsidRPr="00ED31AA">
          <w:rPr>
            <w:rStyle w:val="Hyperlink"/>
            <w:color w:val="D25814"/>
          </w:rPr>
          <w:t>lations/grades/#undergraduatetext</w:t>
        </w:r>
      </w:hyperlink>
      <w:r>
        <w:t xml:space="preserve"> .</w:t>
      </w:r>
    </w:p>
    <w:p w:rsidR="00ED31AA" w:rsidRPr="00CF54F1" w:rsidRDefault="00ED31AA" w:rsidP="00ED31AA">
      <w:pPr>
        <w:pStyle w:val="Heading2"/>
        <w:spacing w:after="60" w:line="240" w:lineRule="auto"/>
      </w:pPr>
      <w:r>
        <w:t>Title IX</w:t>
      </w:r>
    </w:p>
    <w:p w:rsidR="00ED31AA" w:rsidRDefault="00ED31AA" w:rsidP="00DE6704">
      <w:pPr>
        <w:pStyle w:val="Heading2"/>
        <w:spacing w:before="0" w:after="60"/>
        <w:rPr>
          <w:rFonts w:asciiTheme="minorHAnsi" w:eastAsiaTheme="minorHAnsi" w:hAnsiTheme="minorHAnsi" w:cstheme="minorBidi"/>
          <w:b w:val="0"/>
          <w:bCs w:val="0"/>
          <w:color w:val="000000"/>
          <w:sz w:val="22"/>
          <w:szCs w:val="22"/>
        </w:rPr>
      </w:pPr>
      <w:r w:rsidRPr="0065732A">
        <w:rPr>
          <w:rFonts w:asciiTheme="minorHAnsi" w:eastAsiaTheme="minorHAnsi" w:hAnsiTheme="minorHAnsi" w:cstheme="minorBidi"/>
          <w:b w:val="0"/>
          <w:bCs w:val="0"/>
          <w:color w:val="000000"/>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w:t>
      </w:r>
      <w:r>
        <w:rPr>
          <w:rFonts w:asciiTheme="minorHAnsi" w:eastAsiaTheme="minorHAnsi" w:hAnsiTheme="minorHAnsi" w:cstheme="minorBidi"/>
          <w:b w:val="0"/>
          <w:bCs w:val="0"/>
          <w:color w:val="000000"/>
          <w:sz w:val="22"/>
          <w:szCs w:val="22"/>
        </w:rPr>
        <w:t xml:space="preserve">e information, visit </w:t>
      </w:r>
      <w:hyperlink r:id="rId20" w:history="1">
        <w:r w:rsidRPr="00ED31AA">
          <w:rPr>
            <w:rFonts w:asciiTheme="minorHAnsi" w:eastAsiaTheme="minorHAnsi" w:hAnsiTheme="minorHAnsi" w:cs="Arial"/>
            <w:b w:val="0"/>
            <w:bCs w:val="0"/>
            <w:iCs/>
            <w:color w:val="D25814"/>
            <w:sz w:val="22"/>
            <w:szCs w:val="22"/>
            <w:u w:val="single"/>
          </w:rPr>
          <w:t>uta.edu/eos</w:t>
        </w:r>
      </w:hyperlink>
      <w:r w:rsidRPr="0065732A">
        <w:rPr>
          <w:rFonts w:asciiTheme="minorHAnsi" w:eastAsiaTheme="minorHAnsi" w:hAnsiTheme="minorHAnsi" w:cstheme="minorBidi"/>
          <w:b w:val="0"/>
          <w:bCs w:val="0"/>
          <w:color w:val="000000"/>
          <w:sz w:val="22"/>
          <w:szCs w:val="22"/>
        </w:rPr>
        <w:t xml:space="preserve">. </w:t>
      </w:r>
      <w:r>
        <w:rPr>
          <w:rFonts w:asciiTheme="minorHAnsi" w:eastAsiaTheme="minorHAnsi" w:hAnsiTheme="minorHAnsi" w:cstheme="minorBidi"/>
          <w:b w:val="0"/>
          <w:bCs w:val="0"/>
          <w:color w:val="000000"/>
          <w:sz w:val="22"/>
          <w:szCs w:val="22"/>
        </w:rPr>
        <w:t xml:space="preserve"> </w:t>
      </w:r>
      <w:r w:rsidRPr="0065732A">
        <w:rPr>
          <w:rFonts w:asciiTheme="minorHAnsi" w:eastAsiaTheme="minorHAnsi" w:hAnsiTheme="minorHAnsi" w:cstheme="minorBidi"/>
          <w:b w:val="0"/>
          <w:bCs w:val="0"/>
          <w:color w:val="000000"/>
          <w:sz w:val="22"/>
          <w:szCs w:val="22"/>
        </w:rPr>
        <w:t xml:space="preserve">For information regarding Title IX, visit </w:t>
      </w:r>
      <w:hyperlink r:id="rId21" w:history="1">
        <w:r w:rsidRPr="00D125D1">
          <w:rPr>
            <w:rStyle w:val="Hyperlink"/>
            <w:rFonts w:asciiTheme="minorHAnsi" w:eastAsiaTheme="minorHAnsi" w:hAnsiTheme="minorHAnsi" w:cstheme="minorBidi"/>
            <w:b w:val="0"/>
            <w:bCs w:val="0"/>
            <w:sz w:val="22"/>
            <w:szCs w:val="22"/>
          </w:rPr>
          <w:t>www.uta.edu/titleIX</w:t>
        </w:r>
      </w:hyperlink>
      <w:r w:rsidRPr="0065732A">
        <w:rPr>
          <w:rFonts w:asciiTheme="minorHAnsi" w:eastAsiaTheme="minorHAnsi" w:hAnsiTheme="minorHAnsi" w:cstheme="minorBidi"/>
          <w:b w:val="0"/>
          <w:bCs w:val="0"/>
          <w:color w:val="000000"/>
          <w:sz w:val="22"/>
          <w:szCs w:val="22"/>
        </w:rPr>
        <w:t>.</w:t>
      </w:r>
    </w:p>
    <w:p w:rsidR="00ED31AA" w:rsidRPr="007E20D3" w:rsidRDefault="00ED31AA" w:rsidP="00ED31AA">
      <w:pPr>
        <w:pStyle w:val="Heading2"/>
        <w:spacing w:after="60" w:line="240" w:lineRule="auto"/>
      </w:pPr>
      <w:r w:rsidRPr="007E20D3">
        <w:t>Academic Integrity</w:t>
      </w:r>
    </w:p>
    <w:p w:rsidR="00ED31AA" w:rsidRPr="00AD631A" w:rsidRDefault="00ED31AA" w:rsidP="00ED31AA">
      <w:r w:rsidRPr="00AD631A">
        <w:t xml:space="preserve">It is the philosophy of The University of Texas at Arlington that academic dishonesty is a completely unacceptable mode of conduct and will not be tolerated in any form. </w:t>
      </w:r>
      <w:r w:rsidRPr="00AD631A">
        <w:rPr>
          <w:rFonts w:cs="Arial"/>
          <w:color w:val="000000"/>
          <w:spacing w:val="5"/>
        </w:rPr>
        <w:t>This course includes a zero tolerance policy for academic dishonesty and students are expected to adhere to the UT Arlington Honor Code:</w:t>
      </w:r>
    </w:p>
    <w:p w:rsidR="00ED31AA" w:rsidRPr="00AD631A" w:rsidRDefault="00ED31AA" w:rsidP="00ED31AA">
      <w:pPr>
        <w:ind w:left="720"/>
        <w:rPr>
          <w:i/>
        </w:rPr>
      </w:pPr>
      <w:r w:rsidRPr="00AD631A">
        <w:rPr>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r w:rsidRPr="00AD631A">
        <w:t xml:space="preserve"> </w:t>
      </w:r>
    </w:p>
    <w:p w:rsidR="00ED31AA" w:rsidRPr="00AD631A" w:rsidRDefault="00ED31AA" w:rsidP="00ED31AA">
      <w:pPr>
        <w:rPr>
          <w:b/>
          <w:u w:val="single"/>
        </w:rPr>
      </w:pPr>
      <w:r w:rsidRPr="00AD631A">
        <w:t xml:space="preserve">All persons involved in academic dishonesty will be disciplined in accordance with University regulations and procedures. Discipline may include suspension or expulsion from the University.  </w:t>
      </w:r>
      <w:r w:rsidRPr="00AD631A">
        <w:rPr>
          <w:b/>
        </w:rPr>
        <w:t>Students found guilty of cheating will receive a grade of “F” for the course.</w:t>
      </w:r>
      <w:r w:rsidRPr="00AD631A">
        <w:rPr>
          <w:b/>
          <w:u w:val="single"/>
        </w:rPr>
        <w:t xml:space="preserve"> </w:t>
      </w:r>
    </w:p>
    <w:p w:rsidR="00ED31AA" w:rsidRPr="00AD631A" w:rsidRDefault="00ED31AA" w:rsidP="00ED31AA">
      <w:pPr>
        <w:ind w:left="720"/>
        <w:rPr>
          <w:i/>
        </w:rPr>
      </w:pPr>
      <w:r w:rsidRPr="00AD631A">
        <w:rPr>
          <w:i/>
        </w:rPr>
        <w:t xml:space="preserve">"Scholastic dishonesty includes but is not limited to cheating, plagiarism, collusion, </w:t>
      </w:r>
      <w:proofErr w:type="gramStart"/>
      <w:r w:rsidRPr="00AD631A">
        <w:rPr>
          <w:i/>
        </w:rPr>
        <w:t>the</w:t>
      </w:r>
      <w:proofErr w:type="gramEnd"/>
      <w:r w:rsidRPr="00AD631A">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ED31AA" w:rsidRPr="007E20D3" w:rsidRDefault="00ED31AA" w:rsidP="00ED31AA">
      <w:pPr>
        <w:pStyle w:val="Heading2"/>
        <w:spacing w:after="60" w:line="240" w:lineRule="auto"/>
      </w:pPr>
      <w:r w:rsidRPr="007E20D3">
        <w:rPr>
          <w:rStyle w:val="Heading2Char"/>
          <w:b/>
          <w:bCs/>
        </w:rPr>
        <w:t>Student Support Services</w:t>
      </w:r>
    </w:p>
    <w:p w:rsidR="00ED31AA" w:rsidRPr="00AD631A" w:rsidRDefault="00ED31AA" w:rsidP="00ED31AA">
      <w:pPr>
        <w:rPr>
          <w:lang w:eastAsia="zh-CN"/>
        </w:rPr>
      </w:pPr>
      <w:r w:rsidRPr="00AD631A">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ED31AA">
          <w:rPr>
            <w:color w:val="D25814"/>
            <w:u w:val="single"/>
            <w:lang w:eastAsia="zh-CN"/>
          </w:rPr>
          <w:t>resources@uta.edu</w:t>
        </w:r>
      </w:hyperlink>
      <w:r w:rsidRPr="00AD631A">
        <w:rPr>
          <w:lang w:eastAsia="zh-CN"/>
        </w:rPr>
        <w:t xml:space="preserve">, or view the information at </w:t>
      </w:r>
      <w:hyperlink r:id="rId23" w:history="1">
        <w:r w:rsidRPr="00ED31AA">
          <w:rPr>
            <w:color w:val="D25814"/>
            <w:u w:val="single"/>
            <w:lang w:eastAsia="zh-CN"/>
          </w:rPr>
          <w:t>www.uta.edu/resources</w:t>
        </w:r>
      </w:hyperlink>
      <w:r w:rsidRPr="00AD631A">
        <w:rPr>
          <w:lang w:eastAsia="zh-CN"/>
        </w:rPr>
        <w:t>.</w:t>
      </w:r>
    </w:p>
    <w:p w:rsidR="00ED31AA" w:rsidRPr="007E20D3" w:rsidRDefault="00ED31AA" w:rsidP="00ED31AA">
      <w:pPr>
        <w:pStyle w:val="Heading2"/>
        <w:spacing w:after="60" w:line="240" w:lineRule="auto"/>
      </w:pPr>
      <w:r w:rsidRPr="007E20D3">
        <w:rPr>
          <w:rStyle w:val="Heading2Char"/>
          <w:b/>
          <w:bCs/>
        </w:rPr>
        <w:t>Electronic Communication</w:t>
      </w:r>
    </w:p>
    <w:p w:rsidR="00ED31AA" w:rsidRPr="00AD631A" w:rsidRDefault="00ED31AA" w:rsidP="00ED31AA">
      <w:pPr>
        <w:rPr>
          <w:lang w:eastAsia="zh-CN"/>
        </w:rPr>
      </w:pPr>
      <w:r w:rsidRPr="00AD631A">
        <w:rPr>
          <w:lang w:eastAsia="zh-CN"/>
        </w:rPr>
        <w:t xml:space="preserve">UT Arlington has adopted </w:t>
      </w:r>
      <w:proofErr w:type="spellStart"/>
      <w:r w:rsidRPr="00AD631A">
        <w:rPr>
          <w:lang w:eastAsia="zh-CN"/>
        </w:rPr>
        <w:t>MavMail</w:t>
      </w:r>
      <w:proofErr w:type="spellEnd"/>
      <w:r w:rsidRPr="00AD631A">
        <w:rPr>
          <w:lang w:eastAsia="zh-CN"/>
        </w:rPr>
        <w:t xml:space="preserve"> as its official means to communicate with students about important deadlines and events, as well as to transact university-related business regarding financial aid, tuition, </w:t>
      </w:r>
      <w:r w:rsidRPr="00AD631A">
        <w:rPr>
          <w:lang w:eastAsia="zh-CN"/>
        </w:rPr>
        <w:lastRenderedPageBreak/>
        <w:t xml:space="preserve">grades, graduation, etc. All students are assigned a </w:t>
      </w:r>
      <w:proofErr w:type="spellStart"/>
      <w:r w:rsidRPr="00AD631A">
        <w:rPr>
          <w:lang w:eastAsia="zh-CN"/>
        </w:rPr>
        <w:t>MavMail</w:t>
      </w:r>
      <w:proofErr w:type="spellEnd"/>
      <w:r w:rsidRPr="00AD631A">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631A">
        <w:rPr>
          <w:lang w:eastAsia="zh-CN"/>
        </w:rPr>
        <w:t>MavMail</w:t>
      </w:r>
      <w:proofErr w:type="spellEnd"/>
      <w:r w:rsidRPr="00AD631A">
        <w:rPr>
          <w:lang w:eastAsia="zh-CN"/>
        </w:rPr>
        <w:t xml:space="preserve"> is available at </w:t>
      </w:r>
      <w:hyperlink r:id="rId24" w:history="1">
        <w:r w:rsidRPr="00ED31AA">
          <w:rPr>
            <w:color w:val="D25814"/>
            <w:u w:val="single"/>
            <w:lang w:eastAsia="zh-CN"/>
          </w:rPr>
          <w:t>http://www.uta.edu/oit/cs/email/mavmail.php</w:t>
        </w:r>
      </w:hyperlink>
      <w:r w:rsidRPr="00AD631A">
        <w:rPr>
          <w:lang w:eastAsia="zh-CN"/>
        </w:rPr>
        <w:t>.</w:t>
      </w:r>
    </w:p>
    <w:p w:rsidR="00ED31AA" w:rsidRPr="007E20D3" w:rsidRDefault="00ED31AA" w:rsidP="00ED31AA">
      <w:pPr>
        <w:pStyle w:val="Heading2"/>
        <w:spacing w:after="60" w:line="240" w:lineRule="auto"/>
      </w:pPr>
      <w:r w:rsidRPr="007E20D3">
        <w:rPr>
          <w:rStyle w:val="Heading2Char"/>
          <w:b/>
          <w:bCs/>
        </w:rPr>
        <w:t>Student Feedback Survey</w:t>
      </w:r>
    </w:p>
    <w:p w:rsidR="00ED31AA" w:rsidRPr="00AD631A" w:rsidRDefault="00ED31AA" w:rsidP="00ED31AA">
      <w:pPr>
        <w:rPr>
          <w:lang w:eastAsia="zh-CN"/>
        </w:rPr>
      </w:pPr>
      <w:r w:rsidRPr="00AD631A">
        <w:rPr>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D631A">
        <w:rPr>
          <w:lang w:eastAsia="zh-CN"/>
        </w:rPr>
        <w:t>MavMail</w:t>
      </w:r>
      <w:proofErr w:type="spellEnd"/>
      <w:r w:rsidRPr="00AD631A">
        <w:rPr>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ED31AA">
          <w:rPr>
            <w:color w:val="D25814"/>
            <w:u w:val="single"/>
            <w:lang w:eastAsia="zh-CN"/>
          </w:rPr>
          <w:t>http://www.uta.edu/sfs</w:t>
        </w:r>
      </w:hyperlink>
      <w:r w:rsidRPr="00AD631A">
        <w:rPr>
          <w:lang w:eastAsia="zh-CN"/>
        </w:rPr>
        <w:t>.</w:t>
      </w:r>
    </w:p>
    <w:p w:rsidR="00ED31AA" w:rsidRPr="007E20D3" w:rsidRDefault="00ED31AA" w:rsidP="00ED31AA">
      <w:pPr>
        <w:pStyle w:val="Heading2"/>
        <w:spacing w:after="60" w:line="240" w:lineRule="auto"/>
      </w:pPr>
      <w:r w:rsidRPr="007E20D3">
        <w:rPr>
          <w:rStyle w:val="Heading2Char"/>
          <w:b/>
          <w:bCs/>
        </w:rPr>
        <w:t>Final Review Week</w:t>
      </w:r>
    </w:p>
    <w:p w:rsidR="00ED31AA" w:rsidRDefault="00ED31AA" w:rsidP="00ED31AA">
      <w:pPr>
        <w:rPr>
          <w:lang w:eastAsia="zh-CN"/>
        </w:rPr>
      </w:pPr>
      <w:r w:rsidRPr="00AD631A">
        <w:rPr>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D631A">
        <w:rPr>
          <w:i/>
          <w:lang w:eastAsia="zh-CN"/>
        </w:rPr>
        <w:t>unless specified in the class syllabus</w:t>
      </w:r>
      <w:r w:rsidRPr="00AD631A">
        <w:rPr>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D31AA" w:rsidRDefault="00ED31AA" w:rsidP="00ED31AA">
      <w:pPr>
        <w:pStyle w:val="Heading2"/>
        <w:spacing w:after="60" w:line="240" w:lineRule="auto"/>
        <w:rPr>
          <w:rFonts w:eastAsia="SimSun"/>
          <w:lang w:eastAsia="zh-CN"/>
        </w:rPr>
      </w:pPr>
      <w:r>
        <w:rPr>
          <w:rFonts w:eastAsia="SimSun"/>
          <w:lang w:eastAsia="zh-CN"/>
        </w:rPr>
        <w:t>Emergency Exit Procedures</w:t>
      </w:r>
    </w:p>
    <w:p w:rsidR="00ED31AA" w:rsidRDefault="00ED31AA" w:rsidP="00ED31AA">
      <w:pPr>
        <w:spacing w:after="0" w:line="277" w:lineRule="auto"/>
        <w:rPr>
          <w:rFonts w:eastAsia="SimSun" w:cs="Arial"/>
          <w:lang w:eastAsia="zh-CN"/>
        </w:rPr>
      </w:pPr>
      <w:r w:rsidRPr="00E8271B">
        <w:rPr>
          <w:rFonts w:eastAsia="SimSun" w:cs="Arial"/>
          <w:lang w:eastAsia="zh-CN"/>
        </w:rPr>
        <w:t>Should we experience an emergency event that requires us to vacate the building, students should exit the room an</w:t>
      </w:r>
      <w:r>
        <w:rPr>
          <w:rFonts w:eastAsia="SimSun" w:cs="Arial"/>
          <w:lang w:eastAsia="zh-CN"/>
        </w:rPr>
        <w:t xml:space="preserve">d move toward the nearest exit.  </w:t>
      </w:r>
      <w:r w:rsidRPr="00E8271B">
        <w:rPr>
          <w:rFonts w:eastAsia="SimSun" w:cs="Arial"/>
          <w:lang w:eastAsia="zh-CN"/>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D31AA" w:rsidRDefault="00ED31AA" w:rsidP="00ED31AA">
      <w:pPr>
        <w:pStyle w:val="Heading2"/>
        <w:spacing w:after="60" w:line="240" w:lineRule="auto"/>
        <w:rPr>
          <w:rFonts w:eastAsia="SimSun"/>
          <w:lang w:eastAsia="zh-CN"/>
        </w:rPr>
      </w:pPr>
      <w:r>
        <w:rPr>
          <w:rFonts w:eastAsia="SimSun"/>
          <w:lang w:eastAsia="zh-CN"/>
        </w:rPr>
        <w:t>Emergency Phone Numbers</w:t>
      </w:r>
    </w:p>
    <w:p w:rsidR="00ED31AA" w:rsidRPr="005A1DB1" w:rsidRDefault="00ED31AA" w:rsidP="00ED31AA">
      <w:pPr>
        <w:spacing w:after="0"/>
        <w:rPr>
          <w:rFonts w:eastAsia="SimSun" w:cs="Arial"/>
          <w:bCs/>
          <w:lang w:eastAsia="zh-CN"/>
        </w:rPr>
      </w:pPr>
      <w:r w:rsidRPr="005A1DB1">
        <w:rPr>
          <w:rFonts w:eastAsia="SimSun" w:cs="Arial"/>
          <w:bCs/>
          <w:lang w:eastAsia="zh-CN"/>
        </w:rPr>
        <w:t xml:space="preserve">In case of an on-campus emergency, call the UT Arlington Police Department at </w:t>
      </w:r>
      <w:r w:rsidRPr="005A1DB1">
        <w:rPr>
          <w:rFonts w:eastAsia="SimSun" w:cs="Arial"/>
          <w:b/>
          <w:lang w:eastAsia="zh-CN"/>
        </w:rPr>
        <w:t>817-272-3003</w:t>
      </w:r>
      <w:r w:rsidRPr="005A1DB1">
        <w:rPr>
          <w:rFonts w:eastAsia="SimSun" w:cs="Arial"/>
          <w:bCs/>
          <w:lang w:eastAsia="zh-CN"/>
        </w:rPr>
        <w:t xml:space="preserve"> (non-campus phone), </w:t>
      </w:r>
      <w:r w:rsidRPr="005A1DB1">
        <w:rPr>
          <w:rFonts w:eastAsia="SimSun" w:cs="Arial"/>
          <w:b/>
          <w:lang w:eastAsia="zh-CN"/>
        </w:rPr>
        <w:t>2-3003</w:t>
      </w:r>
      <w:r w:rsidRPr="005A1DB1">
        <w:rPr>
          <w:rFonts w:eastAsia="SimSun" w:cs="Arial"/>
          <w:bCs/>
          <w:lang w:eastAsia="zh-CN"/>
        </w:rPr>
        <w:t xml:space="preserve"> (campus phone). You may also dial 911.</w:t>
      </w:r>
      <w:r>
        <w:rPr>
          <w:rFonts w:eastAsia="SimSun" w:cs="Arial"/>
          <w:bCs/>
          <w:lang w:eastAsia="zh-CN"/>
        </w:rPr>
        <w:t xml:space="preserve"> </w:t>
      </w:r>
      <w:r w:rsidRPr="005A1DB1">
        <w:rPr>
          <w:rFonts w:eastAsia="SimSun" w:cs="Arial"/>
          <w:lang w:eastAsia="zh-CN"/>
        </w:rPr>
        <w:t>We further recommend that you enter the UTA Police Department’s emergency phone number into your own mobile phone. For non-emergencies, contact the UTA PD at 817-272-3381.</w:t>
      </w:r>
    </w:p>
    <w:p w:rsidR="00ED31AA" w:rsidRPr="007E20D3" w:rsidRDefault="00ED31AA" w:rsidP="00ED31AA">
      <w:pPr>
        <w:pStyle w:val="Heading2"/>
        <w:spacing w:after="60" w:line="240" w:lineRule="auto"/>
      </w:pPr>
      <w:r w:rsidRPr="007E20D3">
        <w:rPr>
          <w:rStyle w:val="Heading2Char"/>
          <w:b/>
          <w:bCs/>
        </w:rPr>
        <w:t>Student Intellectual Property Rights Statement</w:t>
      </w:r>
    </w:p>
    <w:p w:rsidR="00ED31AA" w:rsidRPr="00AD631A" w:rsidRDefault="00ED31AA" w:rsidP="00ED31AA">
      <w:r w:rsidRPr="00AD631A">
        <w:t>A student shall retain all rights to work created as part of instruction or using university technology resources.</w:t>
      </w:r>
    </w:p>
    <w:p w:rsidR="0070152C" w:rsidRPr="00AD631A" w:rsidRDefault="0070152C" w:rsidP="00ED31AA">
      <w:pPr>
        <w:pStyle w:val="Heading2"/>
        <w:spacing w:after="60"/>
      </w:pPr>
    </w:p>
    <w:sectPr w:rsidR="0070152C" w:rsidRPr="00AD631A" w:rsidSect="00113A0D">
      <w:headerReference w:type="default" r:id="rId26"/>
      <w:pgSz w:w="12240" w:h="15840"/>
      <w:pgMar w:top="1260" w:right="108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30" w:rsidRDefault="007D0030" w:rsidP="00C6514C">
      <w:pPr>
        <w:spacing w:after="0" w:line="240" w:lineRule="auto"/>
      </w:pPr>
      <w:r>
        <w:separator/>
      </w:r>
    </w:p>
  </w:endnote>
  <w:endnote w:type="continuationSeparator" w:id="0">
    <w:p w:rsidR="007D0030" w:rsidRDefault="007D0030" w:rsidP="00C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30" w:rsidRDefault="007D0030" w:rsidP="00C6514C">
      <w:pPr>
        <w:spacing w:after="0" w:line="240" w:lineRule="auto"/>
      </w:pPr>
      <w:r>
        <w:separator/>
      </w:r>
    </w:p>
  </w:footnote>
  <w:footnote w:type="continuationSeparator" w:id="0">
    <w:p w:rsidR="007D0030" w:rsidRDefault="007D0030" w:rsidP="00C65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4C" w:rsidRPr="00FD51E2" w:rsidRDefault="00FD51E2">
    <w:pPr>
      <w:pStyle w:val="Header"/>
      <w:rPr>
        <w:b/>
        <w:sz w:val="24"/>
        <w:szCs w:val="24"/>
      </w:rPr>
    </w:pPr>
    <w:r>
      <w:rPr>
        <w:b/>
        <w:sz w:val="24"/>
        <w:szCs w:val="24"/>
      </w:rPr>
      <w:t>MATH</w:t>
    </w:r>
    <w:r w:rsidR="009F2416">
      <w:rPr>
        <w:b/>
        <w:sz w:val="24"/>
        <w:szCs w:val="24"/>
      </w:rPr>
      <w:t xml:space="preserve"> 1301</w:t>
    </w:r>
    <w:r w:rsidR="00C6514C" w:rsidRPr="00FD51E2">
      <w:rPr>
        <w:b/>
        <w:sz w:val="24"/>
        <w:szCs w:val="24"/>
      </w:rPr>
      <w:ptab w:relativeTo="margin" w:alignment="center" w:leader="none"/>
    </w:r>
    <w:r w:rsidR="009027C5">
      <w:rPr>
        <w:b/>
        <w:sz w:val="24"/>
        <w:szCs w:val="24"/>
      </w:rPr>
      <w:t xml:space="preserve"> </w:t>
    </w:r>
    <w:r w:rsidR="009F2416" w:rsidRPr="009F2416">
      <w:rPr>
        <w:b/>
        <w:sz w:val="24"/>
        <w:szCs w:val="24"/>
      </w:rPr>
      <w:t xml:space="preserve">Contemporary Mathematics </w:t>
    </w:r>
    <w:r w:rsidR="00C6514C" w:rsidRPr="00FD51E2">
      <w:rPr>
        <w:b/>
        <w:sz w:val="24"/>
        <w:szCs w:val="24"/>
      </w:rPr>
      <w:ptab w:relativeTo="margin" w:alignment="right" w:leader="none"/>
    </w:r>
    <w:r w:rsidR="00245C38">
      <w:rPr>
        <w:b/>
        <w:sz w:val="24"/>
        <w:szCs w:val="24"/>
      </w:rPr>
      <w:t>Aug</w:t>
    </w:r>
    <w:r w:rsidR="00E87A3F">
      <w:rPr>
        <w:b/>
        <w:sz w:val="24"/>
        <w:szCs w:val="24"/>
      </w:rPr>
      <w:t xml:space="preserve"> </w:t>
    </w:r>
    <w:r w:rsidR="00245C38">
      <w:rPr>
        <w:b/>
        <w:sz w:val="24"/>
        <w:szCs w:val="24"/>
      </w:rPr>
      <w:t>27</w:t>
    </w:r>
    <w:r w:rsidR="00E87A3F">
      <w:rPr>
        <w:b/>
        <w:sz w:val="24"/>
        <w:szCs w:val="24"/>
      </w:rPr>
      <w:t xml:space="preserve"> — </w:t>
    </w:r>
    <w:r w:rsidR="00245C38">
      <w:rPr>
        <w:b/>
        <w:sz w:val="24"/>
        <w:szCs w:val="24"/>
      </w:rPr>
      <w:t>Dec</w:t>
    </w:r>
    <w:r w:rsidR="00E87A3F">
      <w:rPr>
        <w:b/>
        <w:sz w:val="24"/>
        <w:szCs w:val="24"/>
      </w:rPr>
      <w:t xml:space="preserve"> </w:t>
    </w:r>
    <w:r w:rsidR="00245C38">
      <w:rPr>
        <w:b/>
        <w:sz w:val="24"/>
        <w:szCs w:val="24"/>
      </w:rPr>
      <w:t>9</w:t>
    </w:r>
    <w:r w:rsidR="00E87A3F">
      <w:rPr>
        <w:b/>
        <w:sz w:val="24"/>
        <w:szCs w:val="24"/>
      </w:rPr>
      <w:t>, 20</w:t>
    </w:r>
    <w:r w:rsidR="00245C38">
      <w:rPr>
        <w:b/>
        <w:sz w:val="24"/>
        <w:szCs w:val="24"/>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56C"/>
    <w:multiLevelType w:val="hybridMultilevel"/>
    <w:tmpl w:val="259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18FA"/>
    <w:multiLevelType w:val="hybridMultilevel"/>
    <w:tmpl w:val="D186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29F2"/>
    <w:multiLevelType w:val="hybridMultilevel"/>
    <w:tmpl w:val="D8FA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80603"/>
    <w:multiLevelType w:val="hybridMultilevel"/>
    <w:tmpl w:val="C21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74AFF"/>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DF20AF0"/>
    <w:multiLevelType w:val="hybridMultilevel"/>
    <w:tmpl w:val="87A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1084B"/>
    <w:multiLevelType w:val="hybridMultilevel"/>
    <w:tmpl w:val="AD704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8E5963"/>
    <w:multiLevelType w:val="hybridMultilevel"/>
    <w:tmpl w:val="FBA22114"/>
    <w:lvl w:ilvl="0" w:tplc="04090001">
      <w:start w:val="1"/>
      <w:numFmt w:val="bullet"/>
      <w:lvlText w:val=""/>
      <w:lvlJc w:val="left"/>
      <w:pPr>
        <w:ind w:left="1373" w:hanging="360"/>
      </w:pPr>
      <w:rPr>
        <w:rFonts w:ascii="Symbol" w:hAnsi="Symbol"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9">
    <w:nsid w:val="252D6AA5"/>
    <w:multiLevelType w:val="hybridMultilevel"/>
    <w:tmpl w:val="0FE2C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983E2C"/>
    <w:multiLevelType w:val="hybridMultilevel"/>
    <w:tmpl w:val="57B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16F03"/>
    <w:multiLevelType w:val="hybridMultilevel"/>
    <w:tmpl w:val="DF4C2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6679AF"/>
    <w:multiLevelType w:val="hybridMultilevel"/>
    <w:tmpl w:val="433E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316E61"/>
    <w:multiLevelType w:val="hybridMultilevel"/>
    <w:tmpl w:val="77A8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85D9F"/>
    <w:multiLevelType w:val="hybridMultilevel"/>
    <w:tmpl w:val="F04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E3CB6"/>
    <w:multiLevelType w:val="hybridMultilevel"/>
    <w:tmpl w:val="3F3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07502"/>
    <w:multiLevelType w:val="multilevel"/>
    <w:tmpl w:val="9BFED8C6"/>
    <w:lvl w:ilvl="0">
      <w:start w:val="1"/>
      <w:numFmt w:val="decimal"/>
      <w:lvlText w:val="%1.0"/>
      <w:lvlJc w:val="left"/>
      <w:pPr>
        <w:ind w:left="720" w:hanging="360"/>
      </w:pPr>
      <w:rPr>
        <w:rFonts w:asciiTheme="minorHAnsi" w:hAnsiTheme="minorHAnsi" w:cs="Arial" w:hint="default"/>
      </w:rPr>
    </w:lvl>
    <w:lvl w:ilvl="1">
      <w:start w:val="1"/>
      <w:numFmt w:val="decimal"/>
      <w:lvlText w:val="%1.%2"/>
      <w:lvlJc w:val="left"/>
      <w:pPr>
        <w:ind w:left="1440" w:hanging="360"/>
      </w:pPr>
      <w:rPr>
        <w:rFonts w:asciiTheme="minorHAnsi" w:hAnsiTheme="minorHAnsi" w:cs="Arial"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8">
    <w:nsid w:val="3A691602"/>
    <w:multiLevelType w:val="hybridMultilevel"/>
    <w:tmpl w:val="F7E8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46F5E"/>
    <w:multiLevelType w:val="hybridMultilevel"/>
    <w:tmpl w:val="229AB51C"/>
    <w:lvl w:ilvl="0" w:tplc="7D1C168E">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44827A4F"/>
    <w:multiLevelType w:val="multilevel"/>
    <w:tmpl w:val="22DA7C2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1">
    <w:nsid w:val="48967353"/>
    <w:multiLevelType w:val="hybridMultilevel"/>
    <w:tmpl w:val="4698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DC47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A1C4A"/>
    <w:multiLevelType w:val="hybridMultilevel"/>
    <w:tmpl w:val="FEC2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871B3"/>
    <w:multiLevelType w:val="hybridMultilevel"/>
    <w:tmpl w:val="71CC3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90E99"/>
    <w:multiLevelType w:val="hybridMultilevel"/>
    <w:tmpl w:val="4BE4D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2732A6"/>
    <w:multiLevelType w:val="multilevel"/>
    <w:tmpl w:val="5EBCA8DA"/>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55425E"/>
    <w:multiLevelType w:val="multilevel"/>
    <w:tmpl w:val="9BFED8C6"/>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6C221ABE"/>
    <w:multiLevelType w:val="multilevel"/>
    <w:tmpl w:val="FE163134"/>
    <w:lvl w:ilvl="0">
      <w:start w:val="1"/>
      <w:numFmt w:val="decimal"/>
      <w:lvlText w:val="%1.0"/>
      <w:lvlJc w:val="left"/>
      <w:pPr>
        <w:ind w:left="360" w:hanging="360"/>
      </w:pPr>
      <w:rPr>
        <w:rFonts w:asciiTheme="minorHAnsi" w:hAnsiTheme="minorHAnsi" w:cs="Arial" w:hint="default"/>
      </w:rPr>
    </w:lvl>
    <w:lvl w:ilvl="1">
      <w:start w:val="1"/>
      <w:numFmt w:val="decimal"/>
      <w:lvlText w:val="%1.%2"/>
      <w:lvlJc w:val="left"/>
      <w:pPr>
        <w:ind w:left="1080" w:hanging="360"/>
      </w:pPr>
      <w:rPr>
        <w:rFonts w:asciiTheme="minorHAnsi" w:hAnsiTheme="minorHAnsi" w:cs="Aria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F7C294F"/>
    <w:multiLevelType w:val="hybridMultilevel"/>
    <w:tmpl w:val="A07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81F78"/>
    <w:multiLevelType w:val="hybridMultilevel"/>
    <w:tmpl w:val="11CC2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0D2143"/>
    <w:multiLevelType w:val="hybridMultilevel"/>
    <w:tmpl w:val="1DB06F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AD87A58"/>
    <w:multiLevelType w:val="hybridMultilevel"/>
    <w:tmpl w:val="B0D6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77AAD"/>
    <w:multiLevelType w:val="hybridMultilevel"/>
    <w:tmpl w:val="2ADA5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9"/>
  </w:num>
  <w:num w:numId="4">
    <w:abstractNumId w:val="35"/>
  </w:num>
  <w:num w:numId="5">
    <w:abstractNumId w:val="27"/>
  </w:num>
  <w:num w:numId="6">
    <w:abstractNumId w:val="1"/>
  </w:num>
  <w:num w:numId="7">
    <w:abstractNumId w:val="29"/>
  </w:num>
  <w:num w:numId="8">
    <w:abstractNumId w:val="2"/>
  </w:num>
  <w:num w:numId="9">
    <w:abstractNumId w:val="23"/>
  </w:num>
  <w:num w:numId="10">
    <w:abstractNumId w:val="3"/>
  </w:num>
  <w:num w:numId="11">
    <w:abstractNumId w:val="13"/>
  </w:num>
  <w:num w:numId="12">
    <w:abstractNumId w:val="15"/>
  </w:num>
  <w:num w:numId="13">
    <w:abstractNumId w:val="12"/>
  </w:num>
  <w:num w:numId="14">
    <w:abstractNumId w:val="4"/>
  </w:num>
  <w:num w:numId="15">
    <w:abstractNumId w:val="14"/>
  </w:num>
  <w:num w:numId="16">
    <w:abstractNumId w:val="31"/>
  </w:num>
  <w:num w:numId="17">
    <w:abstractNumId w:val="20"/>
  </w:num>
  <w:num w:numId="18">
    <w:abstractNumId w:val="28"/>
  </w:num>
  <w:num w:numId="19">
    <w:abstractNumId w:val="25"/>
  </w:num>
  <w:num w:numId="20">
    <w:abstractNumId w:val="21"/>
  </w:num>
  <w:num w:numId="21">
    <w:abstractNumId w:val="18"/>
  </w:num>
  <w:num w:numId="22">
    <w:abstractNumId w:val="32"/>
  </w:num>
  <w:num w:numId="23">
    <w:abstractNumId w:val="0"/>
  </w:num>
  <w:num w:numId="24">
    <w:abstractNumId w:val="16"/>
  </w:num>
  <w:num w:numId="25">
    <w:abstractNumId w:val="7"/>
  </w:num>
  <w:num w:numId="26">
    <w:abstractNumId w:val="33"/>
  </w:num>
  <w:num w:numId="27">
    <w:abstractNumId w:val="24"/>
  </w:num>
  <w:num w:numId="28">
    <w:abstractNumId w:val="26"/>
  </w:num>
  <w:num w:numId="29">
    <w:abstractNumId w:val="36"/>
  </w:num>
  <w:num w:numId="30">
    <w:abstractNumId w:val="11"/>
  </w:num>
  <w:num w:numId="31">
    <w:abstractNumId w:val="9"/>
  </w:num>
  <w:num w:numId="32">
    <w:abstractNumId w:val="34"/>
  </w:num>
  <w:num w:numId="33">
    <w:abstractNumId w:val="8"/>
  </w:num>
  <w:num w:numId="34">
    <w:abstractNumId w:val="17"/>
  </w:num>
  <w:num w:numId="35">
    <w:abstractNumId w:val="30"/>
  </w:num>
  <w:num w:numId="36">
    <w:abstractNumId w:val="22"/>
  </w:num>
  <w:num w:numId="37">
    <w:abstractNumId w:val="5"/>
  </w:num>
  <w:num w:numId="38">
    <w:abstractNumId w:val="15"/>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C"/>
    <w:rsid w:val="000226DC"/>
    <w:rsid w:val="00037B3F"/>
    <w:rsid w:val="0007714B"/>
    <w:rsid w:val="000879E6"/>
    <w:rsid w:val="000A4BE1"/>
    <w:rsid w:val="000A7E99"/>
    <w:rsid w:val="00113A0D"/>
    <w:rsid w:val="00115805"/>
    <w:rsid w:val="00124088"/>
    <w:rsid w:val="00126A18"/>
    <w:rsid w:val="0017648A"/>
    <w:rsid w:val="001864C2"/>
    <w:rsid w:val="001C0E2B"/>
    <w:rsid w:val="001C38ED"/>
    <w:rsid w:val="001E1D62"/>
    <w:rsid w:val="001F3671"/>
    <w:rsid w:val="00245C38"/>
    <w:rsid w:val="00247E6F"/>
    <w:rsid w:val="0026004D"/>
    <w:rsid w:val="002845B5"/>
    <w:rsid w:val="00292849"/>
    <w:rsid w:val="002B3E73"/>
    <w:rsid w:val="002C4623"/>
    <w:rsid w:val="002E04F6"/>
    <w:rsid w:val="002E32E1"/>
    <w:rsid w:val="003071CA"/>
    <w:rsid w:val="00313EDF"/>
    <w:rsid w:val="00334BE8"/>
    <w:rsid w:val="00351E73"/>
    <w:rsid w:val="00404643"/>
    <w:rsid w:val="00450762"/>
    <w:rsid w:val="004741D8"/>
    <w:rsid w:val="004801CB"/>
    <w:rsid w:val="00486BCC"/>
    <w:rsid w:val="00487F1C"/>
    <w:rsid w:val="004A5658"/>
    <w:rsid w:val="004D7A9B"/>
    <w:rsid w:val="005039D1"/>
    <w:rsid w:val="005627EC"/>
    <w:rsid w:val="00563D36"/>
    <w:rsid w:val="005721ED"/>
    <w:rsid w:val="00584D5F"/>
    <w:rsid w:val="005A1DB1"/>
    <w:rsid w:val="005E7356"/>
    <w:rsid w:val="005F7D40"/>
    <w:rsid w:val="00600222"/>
    <w:rsid w:val="00605595"/>
    <w:rsid w:val="006178FB"/>
    <w:rsid w:val="00641506"/>
    <w:rsid w:val="00665A34"/>
    <w:rsid w:val="00671A30"/>
    <w:rsid w:val="00680A3A"/>
    <w:rsid w:val="00685C68"/>
    <w:rsid w:val="00690B73"/>
    <w:rsid w:val="006C6E5B"/>
    <w:rsid w:val="006D6371"/>
    <w:rsid w:val="0070152C"/>
    <w:rsid w:val="0070702F"/>
    <w:rsid w:val="007260BF"/>
    <w:rsid w:val="0072619C"/>
    <w:rsid w:val="00754638"/>
    <w:rsid w:val="00775A01"/>
    <w:rsid w:val="00784CDC"/>
    <w:rsid w:val="007C4257"/>
    <w:rsid w:val="007D0030"/>
    <w:rsid w:val="007E039E"/>
    <w:rsid w:val="007E20D3"/>
    <w:rsid w:val="00804E72"/>
    <w:rsid w:val="00820224"/>
    <w:rsid w:val="00830EA9"/>
    <w:rsid w:val="00843716"/>
    <w:rsid w:val="008825CE"/>
    <w:rsid w:val="008C68E0"/>
    <w:rsid w:val="008E6C4D"/>
    <w:rsid w:val="008F5281"/>
    <w:rsid w:val="009027C5"/>
    <w:rsid w:val="00914A90"/>
    <w:rsid w:val="0092159C"/>
    <w:rsid w:val="00943AA3"/>
    <w:rsid w:val="009502CE"/>
    <w:rsid w:val="00952BE6"/>
    <w:rsid w:val="009567D6"/>
    <w:rsid w:val="009A6304"/>
    <w:rsid w:val="009C034E"/>
    <w:rsid w:val="009C6717"/>
    <w:rsid w:val="009E2978"/>
    <w:rsid w:val="009E5044"/>
    <w:rsid w:val="009F2416"/>
    <w:rsid w:val="009F2BDA"/>
    <w:rsid w:val="00A016EC"/>
    <w:rsid w:val="00A22CE1"/>
    <w:rsid w:val="00A51F05"/>
    <w:rsid w:val="00A74050"/>
    <w:rsid w:val="00AB0624"/>
    <w:rsid w:val="00AC31D3"/>
    <w:rsid w:val="00AD3D1B"/>
    <w:rsid w:val="00AD631A"/>
    <w:rsid w:val="00AE7714"/>
    <w:rsid w:val="00AF18F5"/>
    <w:rsid w:val="00AF4B4C"/>
    <w:rsid w:val="00B02763"/>
    <w:rsid w:val="00B23C14"/>
    <w:rsid w:val="00B6284C"/>
    <w:rsid w:val="00B62954"/>
    <w:rsid w:val="00B649A1"/>
    <w:rsid w:val="00B91C38"/>
    <w:rsid w:val="00BA5F0C"/>
    <w:rsid w:val="00BB295D"/>
    <w:rsid w:val="00BC411D"/>
    <w:rsid w:val="00BD456F"/>
    <w:rsid w:val="00BF42F1"/>
    <w:rsid w:val="00BF6365"/>
    <w:rsid w:val="00BF6D21"/>
    <w:rsid w:val="00C1064B"/>
    <w:rsid w:val="00C10A8D"/>
    <w:rsid w:val="00C27966"/>
    <w:rsid w:val="00C60EB7"/>
    <w:rsid w:val="00C6514C"/>
    <w:rsid w:val="00CA3A3D"/>
    <w:rsid w:val="00CA7B6B"/>
    <w:rsid w:val="00CB4A43"/>
    <w:rsid w:val="00CE6ADE"/>
    <w:rsid w:val="00CF54F1"/>
    <w:rsid w:val="00D00AAC"/>
    <w:rsid w:val="00D10371"/>
    <w:rsid w:val="00D16611"/>
    <w:rsid w:val="00D400CB"/>
    <w:rsid w:val="00D40BC6"/>
    <w:rsid w:val="00D44287"/>
    <w:rsid w:val="00D44F44"/>
    <w:rsid w:val="00DB658A"/>
    <w:rsid w:val="00DC6B5C"/>
    <w:rsid w:val="00DE6704"/>
    <w:rsid w:val="00DF06E9"/>
    <w:rsid w:val="00DF79D4"/>
    <w:rsid w:val="00E37055"/>
    <w:rsid w:val="00E87A3F"/>
    <w:rsid w:val="00EA7169"/>
    <w:rsid w:val="00EC5C60"/>
    <w:rsid w:val="00ED31AA"/>
    <w:rsid w:val="00ED4737"/>
    <w:rsid w:val="00EE6A0E"/>
    <w:rsid w:val="00EF2FC2"/>
    <w:rsid w:val="00EF63A8"/>
    <w:rsid w:val="00F26C73"/>
    <w:rsid w:val="00F44F34"/>
    <w:rsid w:val="00F53D14"/>
    <w:rsid w:val="00F64550"/>
    <w:rsid w:val="00FD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CA5C09"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F580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CA5C09" w:themeColor="accent1" w:themeShade="BF"/>
      <w:sz w:val="28"/>
      <w:szCs w:val="28"/>
    </w:rPr>
  </w:style>
  <w:style w:type="character" w:styleId="Hyperlink">
    <w:name w:val="Hyperlink"/>
    <w:basedOn w:val="DefaultParagraphFont"/>
    <w:uiPriority w:val="99"/>
    <w:unhideWhenUsed/>
    <w:rsid w:val="001E1D62"/>
    <w:rPr>
      <w:color w:val="D25814"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F58026"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tblBorders>
    </w:tblPr>
    <w:tblStylePr w:type="firstRow">
      <w:pPr>
        <w:spacing w:before="0" w:after="0" w:line="240" w:lineRule="auto"/>
      </w:pPr>
      <w:rPr>
        <w:b/>
        <w:bCs/>
        <w:color w:val="FFFFFF" w:themeColor="background1"/>
      </w:rPr>
      <w:tblPr/>
      <w:tcPr>
        <w:shd w:val="clear" w:color="auto" w:fill="F58026" w:themeFill="accent1"/>
      </w:tcPr>
    </w:tblStylePr>
    <w:tblStylePr w:type="lastRow">
      <w:pPr>
        <w:spacing w:before="0" w:after="0" w:line="240" w:lineRule="auto"/>
      </w:pPr>
      <w:rPr>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tcBorders>
      </w:tcPr>
    </w:tblStylePr>
    <w:tblStylePr w:type="firstCol">
      <w:rPr>
        <w:b/>
        <w:bCs/>
      </w:rPr>
    </w:tblStylePr>
    <w:tblStylePr w:type="lastCol">
      <w:rPr>
        <w:b/>
        <w:bCs/>
      </w:r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insideH w:val="single" w:sz="8" w:space="0" w:color="F58026" w:themeColor="accent1"/>
        <w:insideV w:val="single" w:sz="8" w:space="0" w:color="F58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18" w:space="0" w:color="F58026" w:themeColor="accent1"/>
          <w:right w:val="single" w:sz="8" w:space="0" w:color="F58026" w:themeColor="accent1"/>
          <w:insideH w:val="nil"/>
          <w:insideV w:val="single" w:sz="8" w:space="0" w:color="F58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insideH w:val="nil"/>
          <w:insideV w:val="single" w:sz="8" w:space="0" w:color="F58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shd w:val="clear" w:color="auto" w:fill="FCDFC9" w:themeFill="accent1" w:themeFillTint="3F"/>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shd w:val="clear" w:color="auto" w:fill="FCDFC9" w:themeFill="accent1" w:themeFillTint="3F"/>
      </w:tcPr>
    </w:tblStylePr>
    <w:tblStylePr w:type="band2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tcPr>
    </w:tblStylePr>
  </w:style>
  <w:style w:type="paragraph" w:styleId="Caption">
    <w:name w:val="caption"/>
    <w:basedOn w:val="Normal"/>
    <w:next w:val="Normal"/>
    <w:uiPriority w:val="35"/>
    <w:unhideWhenUsed/>
    <w:qFormat/>
    <w:rsid w:val="009502CE"/>
    <w:pPr>
      <w:spacing w:line="240" w:lineRule="auto"/>
    </w:pPr>
    <w:rPr>
      <w:b/>
      <w:bCs/>
      <w:color w:val="F58026" w:themeColor="accent1"/>
      <w:sz w:val="18"/>
      <w:szCs w:val="18"/>
    </w:rPr>
  </w:style>
  <w:style w:type="table" w:styleId="LightShading-Accent1">
    <w:name w:val="Light Shading Accent 1"/>
    <w:basedOn w:val="TableNormal"/>
    <w:uiPriority w:val="60"/>
    <w:rsid w:val="009502CE"/>
    <w:pPr>
      <w:spacing w:after="0" w:line="240" w:lineRule="auto"/>
    </w:pPr>
    <w:rPr>
      <w:color w:val="CA5C09" w:themeColor="accent1" w:themeShade="BF"/>
    </w:rPr>
    <w:tblPr>
      <w:tblStyleRowBandSize w:val="1"/>
      <w:tblStyleColBandSize w:val="1"/>
      <w:tblBorders>
        <w:top w:val="single" w:sz="8" w:space="0" w:color="F58026" w:themeColor="accent1"/>
        <w:bottom w:val="single" w:sz="8" w:space="0" w:color="F58026" w:themeColor="accent1"/>
      </w:tblBorders>
    </w:tblPr>
    <w:tblStylePr w:type="fir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la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character" w:customStyle="1" w:styleId="apple-style-span">
    <w:name w:val="apple-style-span"/>
    <w:basedOn w:val="DefaultParagraphFont"/>
    <w:rsid w:val="0070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966"/>
    <w:pPr>
      <w:keepNext/>
      <w:keepLines/>
      <w:spacing w:before="480" w:after="0"/>
      <w:outlineLvl w:val="0"/>
    </w:pPr>
    <w:rPr>
      <w:rFonts w:asciiTheme="majorHAnsi" w:eastAsiaTheme="majorEastAsia" w:hAnsiTheme="majorHAnsi" w:cstheme="majorBidi"/>
      <w:b/>
      <w:bCs/>
      <w:color w:val="CA5C09" w:themeColor="accent1" w:themeShade="BF"/>
      <w:sz w:val="28"/>
      <w:szCs w:val="28"/>
    </w:rPr>
  </w:style>
  <w:style w:type="paragraph" w:styleId="Heading2">
    <w:name w:val="heading 2"/>
    <w:basedOn w:val="Normal"/>
    <w:next w:val="Normal"/>
    <w:link w:val="Heading2Char"/>
    <w:uiPriority w:val="9"/>
    <w:unhideWhenUsed/>
    <w:qFormat/>
    <w:rsid w:val="001E1D62"/>
    <w:pPr>
      <w:keepNext/>
      <w:keepLines/>
      <w:spacing w:before="200" w:after="0"/>
      <w:outlineLvl w:val="1"/>
    </w:pPr>
    <w:rPr>
      <w:rFonts w:asciiTheme="majorHAnsi" w:eastAsiaTheme="majorEastAsia" w:hAnsiTheme="majorHAnsi" w:cstheme="majorBidi"/>
      <w:b/>
      <w:bCs/>
      <w:color w:val="F5802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14C"/>
  </w:style>
  <w:style w:type="paragraph" w:styleId="Footer">
    <w:name w:val="footer"/>
    <w:basedOn w:val="Normal"/>
    <w:link w:val="FooterChar"/>
    <w:uiPriority w:val="99"/>
    <w:unhideWhenUsed/>
    <w:rsid w:val="00C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14C"/>
  </w:style>
  <w:style w:type="character" w:customStyle="1" w:styleId="Heading1Char">
    <w:name w:val="Heading 1 Char"/>
    <w:basedOn w:val="DefaultParagraphFont"/>
    <w:link w:val="Heading1"/>
    <w:uiPriority w:val="9"/>
    <w:rsid w:val="00C27966"/>
    <w:rPr>
      <w:rFonts w:asciiTheme="majorHAnsi" w:eastAsiaTheme="majorEastAsia" w:hAnsiTheme="majorHAnsi" w:cstheme="majorBidi"/>
      <w:b/>
      <w:bCs/>
      <w:color w:val="CA5C09" w:themeColor="accent1" w:themeShade="BF"/>
      <w:sz w:val="28"/>
      <w:szCs w:val="28"/>
    </w:rPr>
  </w:style>
  <w:style w:type="character" w:styleId="Hyperlink">
    <w:name w:val="Hyperlink"/>
    <w:basedOn w:val="DefaultParagraphFont"/>
    <w:uiPriority w:val="99"/>
    <w:unhideWhenUsed/>
    <w:rsid w:val="001E1D62"/>
    <w:rPr>
      <w:color w:val="D25814" w:themeColor="hyperlink"/>
      <w:u w:val="single"/>
    </w:rPr>
  </w:style>
  <w:style w:type="character" w:customStyle="1" w:styleId="Heading2Char">
    <w:name w:val="Heading 2 Char"/>
    <w:basedOn w:val="DefaultParagraphFont"/>
    <w:link w:val="Heading2"/>
    <w:uiPriority w:val="9"/>
    <w:rsid w:val="001E1D62"/>
    <w:rPr>
      <w:rFonts w:asciiTheme="majorHAnsi" w:eastAsiaTheme="majorEastAsia" w:hAnsiTheme="majorHAnsi" w:cstheme="majorBidi"/>
      <w:b/>
      <w:bCs/>
      <w:color w:val="F58026" w:themeColor="accent1"/>
      <w:sz w:val="26"/>
      <w:szCs w:val="26"/>
    </w:rPr>
  </w:style>
  <w:style w:type="paragraph" w:styleId="ListParagraph">
    <w:name w:val="List Paragraph"/>
    <w:basedOn w:val="Normal"/>
    <w:uiPriority w:val="34"/>
    <w:qFormat/>
    <w:rsid w:val="00F44F34"/>
    <w:pPr>
      <w:ind w:left="720"/>
      <w:contextualSpacing/>
    </w:pPr>
  </w:style>
  <w:style w:type="table" w:styleId="TableGrid">
    <w:name w:val="Table Grid"/>
    <w:basedOn w:val="TableNormal"/>
    <w:uiPriority w:val="59"/>
    <w:rsid w:val="00A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tblBorders>
    </w:tblPr>
    <w:tblStylePr w:type="firstRow">
      <w:pPr>
        <w:spacing w:before="0" w:after="0" w:line="240" w:lineRule="auto"/>
      </w:pPr>
      <w:rPr>
        <w:b/>
        <w:bCs/>
        <w:color w:val="FFFFFF" w:themeColor="background1"/>
      </w:rPr>
      <w:tblPr/>
      <w:tcPr>
        <w:shd w:val="clear" w:color="auto" w:fill="F58026" w:themeFill="accent1"/>
      </w:tcPr>
    </w:tblStylePr>
    <w:tblStylePr w:type="lastRow">
      <w:pPr>
        <w:spacing w:before="0" w:after="0" w:line="240" w:lineRule="auto"/>
      </w:pPr>
      <w:rPr>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tcBorders>
      </w:tcPr>
    </w:tblStylePr>
    <w:tblStylePr w:type="firstCol">
      <w:rPr>
        <w:b/>
        <w:bCs/>
      </w:rPr>
    </w:tblStylePr>
    <w:tblStylePr w:type="lastCol">
      <w:rPr>
        <w:b/>
        <w:bCs/>
      </w:r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style>
  <w:style w:type="table" w:styleId="LightGrid-Accent1">
    <w:name w:val="Light Grid Accent 1"/>
    <w:basedOn w:val="TableNormal"/>
    <w:uiPriority w:val="62"/>
    <w:rsid w:val="00AF18F5"/>
    <w:pPr>
      <w:spacing w:after="0" w:line="240" w:lineRule="auto"/>
    </w:pPr>
    <w:tblPr>
      <w:tblStyleRowBandSize w:val="1"/>
      <w:tblStyleColBandSize w:val="1"/>
      <w:tblBorders>
        <w:top w:val="single" w:sz="8" w:space="0" w:color="F58026" w:themeColor="accent1"/>
        <w:left w:val="single" w:sz="8" w:space="0" w:color="F58026" w:themeColor="accent1"/>
        <w:bottom w:val="single" w:sz="8" w:space="0" w:color="F58026" w:themeColor="accent1"/>
        <w:right w:val="single" w:sz="8" w:space="0" w:color="F58026" w:themeColor="accent1"/>
        <w:insideH w:val="single" w:sz="8" w:space="0" w:color="F58026" w:themeColor="accent1"/>
        <w:insideV w:val="single" w:sz="8" w:space="0" w:color="F58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18" w:space="0" w:color="F58026" w:themeColor="accent1"/>
          <w:right w:val="single" w:sz="8" w:space="0" w:color="F58026" w:themeColor="accent1"/>
          <w:insideH w:val="nil"/>
          <w:insideV w:val="single" w:sz="8" w:space="0" w:color="F58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026" w:themeColor="accent1"/>
          <w:left w:val="single" w:sz="8" w:space="0" w:color="F58026" w:themeColor="accent1"/>
          <w:bottom w:val="single" w:sz="8" w:space="0" w:color="F58026" w:themeColor="accent1"/>
          <w:right w:val="single" w:sz="8" w:space="0" w:color="F58026" w:themeColor="accent1"/>
          <w:insideH w:val="nil"/>
          <w:insideV w:val="single" w:sz="8" w:space="0" w:color="F58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tcPr>
    </w:tblStylePr>
    <w:tblStylePr w:type="band1Vert">
      <w:tblPr/>
      <w:tcPr>
        <w:tcBorders>
          <w:top w:val="single" w:sz="8" w:space="0" w:color="F58026" w:themeColor="accent1"/>
          <w:left w:val="single" w:sz="8" w:space="0" w:color="F58026" w:themeColor="accent1"/>
          <w:bottom w:val="single" w:sz="8" w:space="0" w:color="F58026" w:themeColor="accent1"/>
          <w:right w:val="single" w:sz="8" w:space="0" w:color="F58026" w:themeColor="accent1"/>
        </w:tcBorders>
        <w:shd w:val="clear" w:color="auto" w:fill="FCDFC9" w:themeFill="accent1" w:themeFillTint="3F"/>
      </w:tcPr>
    </w:tblStylePr>
    <w:tblStylePr w:type="band1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shd w:val="clear" w:color="auto" w:fill="FCDFC9" w:themeFill="accent1" w:themeFillTint="3F"/>
      </w:tcPr>
    </w:tblStylePr>
    <w:tblStylePr w:type="band2Horz">
      <w:tblPr/>
      <w:tcPr>
        <w:tcBorders>
          <w:top w:val="single" w:sz="8" w:space="0" w:color="F58026" w:themeColor="accent1"/>
          <w:left w:val="single" w:sz="8" w:space="0" w:color="F58026" w:themeColor="accent1"/>
          <w:bottom w:val="single" w:sz="8" w:space="0" w:color="F58026" w:themeColor="accent1"/>
          <w:right w:val="single" w:sz="8" w:space="0" w:color="F58026" w:themeColor="accent1"/>
          <w:insideV w:val="single" w:sz="8" w:space="0" w:color="F58026" w:themeColor="accent1"/>
        </w:tcBorders>
      </w:tcPr>
    </w:tblStylePr>
  </w:style>
  <w:style w:type="paragraph" w:styleId="Caption">
    <w:name w:val="caption"/>
    <w:basedOn w:val="Normal"/>
    <w:next w:val="Normal"/>
    <w:uiPriority w:val="35"/>
    <w:unhideWhenUsed/>
    <w:qFormat/>
    <w:rsid w:val="009502CE"/>
    <w:pPr>
      <w:spacing w:line="240" w:lineRule="auto"/>
    </w:pPr>
    <w:rPr>
      <w:b/>
      <w:bCs/>
      <w:color w:val="F58026" w:themeColor="accent1"/>
      <w:sz w:val="18"/>
      <w:szCs w:val="18"/>
    </w:rPr>
  </w:style>
  <w:style w:type="table" w:styleId="LightShading-Accent1">
    <w:name w:val="Light Shading Accent 1"/>
    <w:basedOn w:val="TableNormal"/>
    <w:uiPriority w:val="60"/>
    <w:rsid w:val="009502CE"/>
    <w:pPr>
      <w:spacing w:after="0" w:line="240" w:lineRule="auto"/>
    </w:pPr>
    <w:rPr>
      <w:color w:val="CA5C09" w:themeColor="accent1" w:themeShade="BF"/>
    </w:rPr>
    <w:tblPr>
      <w:tblStyleRowBandSize w:val="1"/>
      <w:tblStyleColBandSize w:val="1"/>
      <w:tblBorders>
        <w:top w:val="single" w:sz="8" w:space="0" w:color="F58026" w:themeColor="accent1"/>
        <w:bottom w:val="single" w:sz="8" w:space="0" w:color="F58026" w:themeColor="accent1"/>
      </w:tblBorders>
    </w:tblPr>
    <w:tblStylePr w:type="fir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lastRow">
      <w:pPr>
        <w:spacing w:before="0" w:after="0" w:line="240" w:lineRule="auto"/>
      </w:pPr>
      <w:rPr>
        <w:b/>
        <w:bCs/>
      </w:rPr>
      <w:tblPr/>
      <w:tcPr>
        <w:tcBorders>
          <w:top w:val="single" w:sz="8" w:space="0" w:color="F58026" w:themeColor="accent1"/>
          <w:left w:val="nil"/>
          <w:bottom w:val="single" w:sz="8" w:space="0" w:color="F58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9" w:themeFill="accent1" w:themeFillTint="3F"/>
      </w:tcPr>
    </w:tblStylePr>
    <w:tblStylePr w:type="band1Horz">
      <w:tblPr/>
      <w:tcPr>
        <w:tcBorders>
          <w:left w:val="nil"/>
          <w:right w:val="nil"/>
          <w:insideH w:val="nil"/>
          <w:insideV w:val="nil"/>
        </w:tcBorders>
        <w:shd w:val="clear" w:color="auto" w:fill="FCDFC9" w:themeFill="accent1" w:themeFillTint="3F"/>
      </w:tcPr>
    </w:tblStylePr>
  </w:style>
  <w:style w:type="character" w:customStyle="1" w:styleId="apple-style-span">
    <w:name w:val="apple-style-span"/>
    <w:basedOn w:val="DefaultParagraphFont"/>
    <w:rsid w:val="0070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69961">
      <w:bodyDiv w:val="1"/>
      <w:marLeft w:val="0"/>
      <w:marRight w:val="0"/>
      <w:marTop w:val="0"/>
      <w:marBottom w:val="0"/>
      <w:divBdr>
        <w:top w:val="none" w:sz="0" w:space="0" w:color="auto"/>
        <w:left w:val="none" w:sz="0" w:space="0" w:color="auto"/>
        <w:bottom w:val="none" w:sz="0" w:space="0" w:color="auto"/>
        <w:right w:val="none" w:sz="0" w:space="0" w:color="auto"/>
      </w:divBdr>
    </w:div>
    <w:div w:id="725379656">
      <w:bodyDiv w:val="1"/>
      <w:marLeft w:val="0"/>
      <w:marRight w:val="0"/>
      <w:marTop w:val="0"/>
      <w:marBottom w:val="0"/>
      <w:divBdr>
        <w:top w:val="none" w:sz="0" w:space="0" w:color="auto"/>
        <w:left w:val="none" w:sz="0" w:space="0" w:color="auto"/>
        <w:bottom w:val="none" w:sz="0" w:space="0" w:color="auto"/>
        <w:right w:val="none" w:sz="0" w:space="0" w:color="auto"/>
      </w:divBdr>
    </w:div>
    <w:div w:id="1057824975">
      <w:bodyDiv w:val="1"/>
      <w:marLeft w:val="0"/>
      <w:marRight w:val="0"/>
      <w:marTop w:val="0"/>
      <w:marBottom w:val="0"/>
      <w:divBdr>
        <w:top w:val="none" w:sz="0" w:space="0" w:color="auto"/>
        <w:left w:val="none" w:sz="0" w:space="0" w:color="auto"/>
        <w:bottom w:val="none" w:sz="0" w:space="0" w:color="auto"/>
        <w:right w:val="none" w:sz="0" w:space="0" w:color="auto"/>
      </w:divBdr>
    </w:div>
    <w:div w:id="1258565682">
      <w:bodyDiv w:val="1"/>
      <w:marLeft w:val="0"/>
      <w:marRight w:val="0"/>
      <w:marTop w:val="0"/>
      <w:marBottom w:val="0"/>
      <w:divBdr>
        <w:top w:val="none" w:sz="0" w:space="0" w:color="auto"/>
        <w:left w:val="none" w:sz="0" w:space="0" w:color="auto"/>
        <w:bottom w:val="none" w:sz="0" w:space="0" w:color="auto"/>
        <w:right w:val="none" w:sz="0" w:space="0" w:color="auto"/>
      </w:divBdr>
    </w:div>
    <w:div w:id="1534727616">
      <w:bodyDiv w:val="1"/>
      <w:marLeft w:val="0"/>
      <w:marRight w:val="0"/>
      <w:marTop w:val="0"/>
      <w:marBottom w:val="0"/>
      <w:divBdr>
        <w:top w:val="none" w:sz="0" w:space="0" w:color="auto"/>
        <w:left w:val="none" w:sz="0" w:space="0" w:color="auto"/>
        <w:bottom w:val="none" w:sz="0" w:space="0" w:color="auto"/>
        <w:right w:val="none" w:sz="0" w:space="0" w:color="auto"/>
      </w:divBdr>
    </w:div>
    <w:div w:id="1643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math/emporium/" TargetMode="External"/><Relationship Id="rId18" Type="http://schemas.openxmlformats.org/officeDocument/2006/relationships/hyperlink" Target="http://www.uta.edu/cap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titleIX" TargetMode="External"/><Relationship Id="rId7" Type="http://schemas.openxmlformats.org/officeDocument/2006/relationships/footnotes" Target="footnotes.xml"/><Relationship Id="rId12" Type="http://schemas.openxmlformats.org/officeDocument/2006/relationships/hyperlink" Target="mailto:mathemporium@uta.edu" TargetMode="External"/><Relationship Id="rId17" Type="http://schemas.openxmlformats.org/officeDocument/2006/relationships/hyperlink" Target="http://wweb.uta.edu/aao/fao"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math/emporium/" TargetMode="External"/><Relationship Id="rId20" Type="http://schemas.openxmlformats.org/officeDocument/2006/relationships/hyperlink" Target="http://www.uta.edu/hr/eo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karl-backs" TargetMode="External"/><Relationship Id="rId24" Type="http://schemas.openxmlformats.org/officeDocument/2006/relationships/hyperlink" Target="http://www.uta.edu/oit/cs/email/mavmail.php" TargetMode="External"/><Relationship Id="rId5" Type="http://schemas.openxmlformats.org/officeDocument/2006/relationships/settings" Target="settings.xml"/><Relationship Id="rId15" Type="http://schemas.openxmlformats.org/officeDocument/2006/relationships/hyperlink" Target="http://www.uta.mylabsplus.com"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mailto:kbacks@uta.edu" TargetMode="External"/><Relationship Id="rId19" Type="http://schemas.openxmlformats.org/officeDocument/2006/relationships/hyperlink" Target="http://catalog.uta.edu/academicregulations/grad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facebook.com/pages/UTA-Math-Emporium/460329394127443"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F2B20"/>
      </a:dk1>
      <a:lt1>
        <a:srgbClr val="FFFFFF"/>
      </a:lt1>
      <a:dk2>
        <a:srgbClr val="0064B1"/>
      </a:dk2>
      <a:lt2>
        <a:srgbClr val="F58026"/>
      </a:lt2>
      <a:accent1>
        <a:srgbClr val="F58026"/>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8A55-3383-4F63-8EF6-FD38A711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Parmelee</dc:creator>
  <cp:lastModifiedBy>Karl Backs</cp:lastModifiedBy>
  <cp:revision>27</cp:revision>
  <cp:lastPrinted>2015-08-24T16:41:00Z</cp:lastPrinted>
  <dcterms:created xsi:type="dcterms:W3CDTF">2015-01-12T19:53:00Z</dcterms:created>
  <dcterms:modified xsi:type="dcterms:W3CDTF">2015-08-26T17:34:00Z</dcterms:modified>
</cp:coreProperties>
</file>