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Pr="001F2D53" w:rsidRDefault="00547F8B" w:rsidP="00547F8B">
      <w:pPr>
        <w:jc w:val="center"/>
        <w:rPr>
          <w:rFonts w:ascii="Garamond" w:hAnsi="Garamond" w:cs="Arial"/>
          <w:sz w:val="21"/>
          <w:szCs w:val="21"/>
        </w:rPr>
      </w:pPr>
      <w:r w:rsidRPr="001F2D53">
        <w:rPr>
          <w:rFonts w:ascii="Garamond" w:hAnsi="Garamond" w:cs="Arial"/>
          <w:b/>
          <w:sz w:val="21"/>
          <w:szCs w:val="21"/>
        </w:rPr>
        <w:t xml:space="preserve">HIST 3318: </w:t>
      </w:r>
      <w:r w:rsidRPr="001F2D53">
        <w:rPr>
          <w:rFonts w:ascii="Garamond" w:hAnsi="Garamond" w:cs="Arial"/>
          <w:sz w:val="21"/>
          <w:szCs w:val="21"/>
        </w:rPr>
        <w:t>AMERICAN LEGAL AND CONSTITUTIONAL HISTORY, 1</w:t>
      </w:r>
      <w:r w:rsidR="00CC696C" w:rsidRPr="001F2D53">
        <w:rPr>
          <w:rFonts w:ascii="Garamond" w:hAnsi="Garamond" w:cs="Arial"/>
          <w:sz w:val="21"/>
          <w:szCs w:val="21"/>
        </w:rPr>
        <w:t xml:space="preserve">900 </w:t>
      </w:r>
      <w:r w:rsidRPr="001F2D53">
        <w:rPr>
          <w:rFonts w:ascii="Garamond" w:hAnsi="Garamond" w:cs="Arial"/>
          <w:sz w:val="21"/>
          <w:szCs w:val="21"/>
        </w:rPr>
        <w:t>TO PRESENT</w:t>
      </w:r>
    </w:p>
    <w:p w:rsidR="00547F8B" w:rsidRPr="001F2D53" w:rsidRDefault="001F2D53" w:rsidP="00547F8B">
      <w:pPr>
        <w:jc w:val="center"/>
        <w:rPr>
          <w:rFonts w:ascii="Garamond" w:hAnsi="Garamond" w:cs="Arial"/>
          <w:sz w:val="21"/>
          <w:szCs w:val="21"/>
        </w:rPr>
      </w:pPr>
      <w:r>
        <w:rPr>
          <w:rFonts w:ascii="Garamond" w:hAnsi="Garamond" w:cs="Arial"/>
          <w:sz w:val="21"/>
          <w:szCs w:val="21"/>
        </w:rPr>
        <w:t>Fall 2015</w:t>
      </w:r>
    </w:p>
    <w:p w:rsidR="00547F8B" w:rsidRPr="001F2D53" w:rsidRDefault="00547F8B" w:rsidP="00547F8B">
      <w:pPr>
        <w:rPr>
          <w:rFonts w:ascii="Garamond" w:hAnsi="Garamond" w:cs="Arial"/>
          <w:sz w:val="21"/>
          <w:szCs w:val="21"/>
        </w:rPr>
      </w:pPr>
    </w:p>
    <w:p w:rsidR="00547F8B" w:rsidRPr="001F2D53" w:rsidRDefault="008619C2" w:rsidP="00547F8B">
      <w:pPr>
        <w:rPr>
          <w:rFonts w:ascii="Garamond" w:hAnsi="Garamond" w:cs="Arial"/>
          <w:sz w:val="21"/>
          <w:szCs w:val="21"/>
        </w:rPr>
      </w:pPr>
      <w:r w:rsidRPr="001F2D53">
        <w:rPr>
          <w:rFonts w:ascii="Garamond" w:hAnsi="Garamond" w:cs="Arial"/>
          <w:b/>
          <w:sz w:val="21"/>
          <w:szCs w:val="21"/>
        </w:rPr>
        <w:t>Instructor</w:t>
      </w:r>
      <w:r w:rsidR="00547F8B" w:rsidRPr="001F2D53">
        <w:rPr>
          <w:rFonts w:ascii="Garamond" w:hAnsi="Garamond" w:cs="Arial"/>
          <w:b/>
          <w:sz w:val="21"/>
          <w:szCs w:val="21"/>
        </w:rPr>
        <w:t xml:space="preserve">: </w:t>
      </w:r>
      <w:r w:rsidR="00222E7F" w:rsidRPr="001F2D53">
        <w:rPr>
          <w:rFonts w:ascii="Garamond" w:hAnsi="Garamond" w:cs="Arial"/>
          <w:sz w:val="21"/>
          <w:szCs w:val="21"/>
        </w:rPr>
        <w:t>Oliver Lee Bateman</w:t>
      </w:r>
      <w:r w:rsidR="0090044D">
        <w:rPr>
          <w:rFonts w:ascii="Garamond" w:hAnsi="Garamond" w:cs="Arial"/>
          <w:sz w:val="21"/>
          <w:szCs w:val="21"/>
        </w:rPr>
        <w:t xml:space="preserve"> / </w:t>
      </w:r>
      <w:hyperlink r:id="rId5" w:history="1">
        <w:r w:rsidR="0090044D" w:rsidRPr="00ED74AA">
          <w:rPr>
            <w:rStyle w:val="Hyperlink"/>
            <w:rFonts w:ascii="Garamond" w:hAnsi="Garamond" w:cs="Arial"/>
            <w:sz w:val="21"/>
            <w:szCs w:val="21"/>
          </w:rPr>
          <w:t>www.oliverbateman.com</w:t>
        </w:r>
      </w:hyperlink>
      <w:r w:rsidR="0090044D">
        <w:rPr>
          <w:rFonts w:ascii="Garamond" w:hAnsi="Garamond" w:cs="Arial"/>
          <w:sz w:val="21"/>
          <w:szCs w:val="21"/>
        </w:rPr>
        <w:t xml:space="preserve"> </w:t>
      </w:r>
    </w:p>
    <w:p w:rsidR="00547F8B" w:rsidRPr="001F2D53" w:rsidRDefault="00547F8B" w:rsidP="00547F8B">
      <w:pPr>
        <w:rPr>
          <w:rFonts w:ascii="Garamond" w:hAnsi="Garamond" w:cs="Arial"/>
          <w:b/>
          <w:sz w:val="21"/>
          <w:szCs w:val="21"/>
        </w:rPr>
      </w:pPr>
    </w:p>
    <w:p w:rsidR="00547F8B" w:rsidRPr="001F2D53" w:rsidRDefault="00547F8B" w:rsidP="00547F8B">
      <w:pPr>
        <w:rPr>
          <w:rFonts w:ascii="Garamond" w:hAnsi="Garamond" w:cs="Arial"/>
          <w:sz w:val="21"/>
          <w:szCs w:val="21"/>
        </w:rPr>
      </w:pPr>
      <w:r w:rsidRPr="001F2D53">
        <w:rPr>
          <w:rFonts w:ascii="Garamond" w:hAnsi="Garamond" w:cs="Arial"/>
          <w:b/>
          <w:sz w:val="21"/>
          <w:szCs w:val="21"/>
        </w:rPr>
        <w:t xml:space="preserve">Office Number: </w:t>
      </w:r>
      <w:r w:rsidR="00222E7F" w:rsidRPr="001F2D53">
        <w:rPr>
          <w:rFonts w:ascii="Garamond" w:hAnsi="Garamond" w:cs="Arial"/>
          <w:sz w:val="21"/>
          <w:szCs w:val="21"/>
        </w:rPr>
        <w:t xml:space="preserve">UNIVERSITY HALL, ROOM </w:t>
      </w:r>
      <w:r w:rsidR="00FD06BD" w:rsidRPr="001F2D53">
        <w:rPr>
          <w:rFonts w:ascii="Garamond" w:hAnsi="Garamond" w:cs="Arial"/>
          <w:sz w:val="21"/>
          <w:szCs w:val="21"/>
        </w:rPr>
        <w:t>329</w:t>
      </w:r>
    </w:p>
    <w:p w:rsidR="00547F8B" w:rsidRPr="001F2D53" w:rsidRDefault="00547F8B" w:rsidP="00547F8B">
      <w:pPr>
        <w:rPr>
          <w:rFonts w:ascii="Garamond" w:hAnsi="Garamond" w:cs="Arial"/>
          <w:sz w:val="21"/>
          <w:szCs w:val="21"/>
        </w:rPr>
      </w:pPr>
    </w:p>
    <w:p w:rsidR="00547F8B" w:rsidRPr="001F2D53" w:rsidRDefault="00547F8B" w:rsidP="00547F8B">
      <w:pPr>
        <w:rPr>
          <w:rFonts w:ascii="Garamond" w:hAnsi="Garamond" w:cs="Arial"/>
          <w:sz w:val="21"/>
          <w:szCs w:val="21"/>
        </w:rPr>
      </w:pPr>
      <w:r w:rsidRPr="001F2D53">
        <w:rPr>
          <w:rFonts w:ascii="Garamond" w:hAnsi="Garamond" w:cs="Arial"/>
          <w:b/>
          <w:sz w:val="21"/>
          <w:szCs w:val="21"/>
        </w:rPr>
        <w:t xml:space="preserve">Office Telephone Number: </w:t>
      </w:r>
      <w:r w:rsidR="00222E7F" w:rsidRPr="001F2D53">
        <w:rPr>
          <w:rFonts w:ascii="Garamond" w:hAnsi="Garamond" w:cs="Arial"/>
          <w:b/>
          <w:sz w:val="21"/>
          <w:szCs w:val="21"/>
        </w:rPr>
        <w:t>817-272-2861</w:t>
      </w:r>
    </w:p>
    <w:p w:rsidR="00547F8B" w:rsidRPr="001F2D53" w:rsidRDefault="00547F8B" w:rsidP="00547F8B">
      <w:pPr>
        <w:rPr>
          <w:rFonts w:ascii="Garamond" w:hAnsi="Garamond" w:cs="Arial"/>
          <w:b/>
          <w:sz w:val="21"/>
          <w:szCs w:val="21"/>
        </w:rPr>
      </w:pPr>
    </w:p>
    <w:p w:rsidR="00547F8B" w:rsidRPr="001F2D53" w:rsidRDefault="00547F8B" w:rsidP="00547F8B">
      <w:pPr>
        <w:rPr>
          <w:rFonts w:ascii="Garamond" w:hAnsi="Garamond" w:cs="Arial"/>
          <w:sz w:val="21"/>
          <w:szCs w:val="21"/>
        </w:rPr>
      </w:pPr>
      <w:r w:rsidRPr="001F2D53">
        <w:rPr>
          <w:rFonts w:ascii="Garamond" w:hAnsi="Garamond" w:cs="Arial"/>
          <w:b/>
          <w:sz w:val="21"/>
          <w:szCs w:val="21"/>
        </w:rPr>
        <w:t xml:space="preserve">Email Address: </w:t>
      </w:r>
      <w:r w:rsidR="00222E7F" w:rsidRPr="001F2D53">
        <w:rPr>
          <w:rFonts w:ascii="Garamond" w:hAnsi="Garamond" w:cs="Arial"/>
          <w:sz w:val="21"/>
          <w:szCs w:val="21"/>
        </w:rPr>
        <w:t>oliver.bateman@uta.edu</w:t>
      </w:r>
    </w:p>
    <w:p w:rsidR="00547F8B" w:rsidRPr="001F2D53" w:rsidRDefault="00547F8B" w:rsidP="00547F8B">
      <w:pPr>
        <w:rPr>
          <w:rFonts w:ascii="Garamond" w:hAnsi="Garamond" w:cs="Arial"/>
          <w:sz w:val="21"/>
          <w:szCs w:val="21"/>
        </w:rPr>
      </w:pPr>
    </w:p>
    <w:p w:rsidR="00A52F77" w:rsidRPr="001F2D53" w:rsidRDefault="00A52F77" w:rsidP="00A52F77">
      <w:pPr>
        <w:rPr>
          <w:rFonts w:ascii="Garamond" w:hAnsi="Garamond" w:cs="Arial"/>
          <w:color w:val="FF0000"/>
          <w:sz w:val="21"/>
          <w:szCs w:val="21"/>
        </w:rPr>
      </w:pPr>
      <w:r w:rsidRPr="001F2D53">
        <w:rPr>
          <w:rFonts w:ascii="Garamond" w:hAnsi="Garamond" w:cs="Arial"/>
          <w:b/>
          <w:sz w:val="21"/>
          <w:szCs w:val="21"/>
        </w:rPr>
        <w:t xml:space="preserve">Office Hours: </w:t>
      </w:r>
      <w:r w:rsidR="00F000EB">
        <w:rPr>
          <w:rFonts w:ascii="Garamond" w:hAnsi="Garamond" w:cs="Arial"/>
          <w:sz w:val="21"/>
          <w:szCs w:val="21"/>
        </w:rPr>
        <w:t>By appointment</w:t>
      </w:r>
    </w:p>
    <w:p w:rsidR="00547F8B" w:rsidRPr="001F2D53" w:rsidRDefault="00547F8B" w:rsidP="00547F8B">
      <w:pPr>
        <w:rPr>
          <w:rFonts w:ascii="Garamond" w:hAnsi="Garamond" w:cs="Arial"/>
          <w:b/>
          <w:sz w:val="21"/>
          <w:szCs w:val="21"/>
        </w:rPr>
      </w:pPr>
    </w:p>
    <w:p w:rsidR="00F000EB" w:rsidRDefault="00547F8B" w:rsidP="00F000EB">
      <w:pPr>
        <w:rPr>
          <w:rFonts w:ascii="Garamond" w:hAnsi="Garamond"/>
        </w:rPr>
      </w:pPr>
      <w:r w:rsidRPr="001F2D53">
        <w:rPr>
          <w:rFonts w:ascii="Garamond" w:hAnsi="Garamond" w:cs="Arial"/>
          <w:b/>
          <w:sz w:val="21"/>
          <w:szCs w:val="21"/>
        </w:rPr>
        <w:t xml:space="preserve">Time and Place of Class Meetings: </w:t>
      </w:r>
      <w:r w:rsidR="00F000EB">
        <w:rPr>
          <w:rFonts w:ascii="Garamond" w:hAnsi="Garamond"/>
        </w:rPr>
        <w:t>University Hall, Room 02</w:t>
      </w:r>
    </w:p>
    <w:p w:rsidR="00547F8B" w:rsidRPr="001F2D53" w:rsidRDefault="00F000EB" w:rsidP="00F000EB">
      <w:pPr>
        <w:rPr>
          <w:rFonts w:ascii="Garamond" w:hAnsi="Garamond" w:cs="Arial"/>
          <w:sz w:val="21"/>
          <w:szCs w:val="21"/>
        </w:rPr>
      </w:pPr>
      <w:r>
        <w:rPr>
          <w:rFonts w:ascii="Garamond" w:hAnsi="Garamond"/>
        </w:rPr>
        <w:t>M-W-F, 1:00 p.m.-1:50 p.m.</w:t>
      </w:r>
    </w:p>
    <w:p w:rsidR="00547F8B" w:rsidRPr="001F2D53" w:rsidRDefault="00547F8B" w:rsidP="00547F8B">
      <w:pPr>
        <w:rPr>
          <w:rFonts w:ascii="Garamond" w:hAnsi="Garamond" w:cs="Arial"/>
          <w:b/>
          <w:sz w:val="21"/>
          <w:szCs w:val="21"/>
        </w:rPr>
      </w:pPr>
    </w:p>
    <w:p w:rsidR="00547F8B" w:rsidRPr="001F2D53" w:rsidRDefault="00547F8B" w:rsidP="005C3DBF">
      <w:pPr>
        <w:jc w:val="both"/>
        <w:rPr>
          <w:rFonts w:ascii="Garamond" w:hAnsi="Garamond" w:cs="Arial"/>
          <w:color w:val="FF0000"/>
          <w:sz w:val="21"/>
          <w:szCs w:val="21"/>
        </w:rPr>
      </w:pPr>
      <w:r w:rsidRPr="001F2D53">
        <w:rPr>
          <w:rFonts w:ascii="Garamond" w:hAnsi="Garamond" w:cs="Arial"/>
          <w:b/>
          <w:sz w:val="21"/>
          <w:szCs w:val="21"/>
        </w:rPr>
        <w:t>Description of Course Content</w:t>
      </w:r>
      <w:r w:rsidR="005C3DBF" w:rsidRPr="001F2D53">
        <w:rPr>
          <w:rFonts w:ascii="Garamond" w:hAnsi="Garamond" w:cs="Arial"/>
          <w:b/>
          <w:sz w:val="21"/>
          <w:szCs w:val="21"/>
        </w:rPr>
        <w:t xml:space="preserve">: </w:t>
      </w:r>
      <w:r w:rsidR="005C3DBF" w:rsidRPr="001F2D53">
        <w:rPr>
          <w:rFonts w:ascii="Garamond" w:hAnsi="Garamond"/>
          <w:sz w:val="24"/>
        </w:rPr>
        <w:t xml:space="preserve">HIST </w:t>
      </w:r>
      <w:r w:rsidR="00703DBC" w:rsidRPr="001F2D53">
        <w:rPr>
          <w:rFonts w:ascii="Garamond" w:hAnsi="Garamond"/>
          <w:sz w:val="24"/>
        </w:rPr>
        <w:t>3318</w:t>
      </w:r>
      <w:r w:rsidR="005C3DBF" w:rsidRPr="001F2D53">
        <w:rPr>
          <w:rFonts w:ascii="Garamond" w:hAnsi="Garamond"/>
          <w:sz w:val="24"/>
        </w:rPr>
        <w:t xml:space="preserve"> traces the adaptation of laws to changing social and economic needs with emphasis on the interrelations of law, public opinion, the legal profession, judiciary, and the political process. Topics include the transatlantic </w:t>
      </w:r>
      <w:r w:rsidR="00703DBC" w:rsidRPr="001F2D53">
        <w:rPr>
          <w:rFonts w:ascii="Garamond" w:hAnsi="Garamond"/>
          <w:sz w:val="24"/>
        </w:rPr>
        <w:t>nature</w:t>
      </w:r>
      <w:r w:rsidR="005C3DBF" w:rsidRPr="001F2D53">
        <w:rPr>
          <w:rFonts w:ascii="Garamond" w:hAnsi="Garamond"/>
          <w:sz w:val="24"/>
        </w:rPr>
        <w:t xml:space="preserve"> of American law, </w:t>
      </w:r>
      <w:r w:rsidR="00703DBC" w:rsidRPr="001F2D53">
        <w:rPr>
          <w:rFonts w:ascii="Garamond" w:hAnsi="Garamond"/>
          <w:sz w:val="24"/>
        </w:rPr>
        <w:t>the failure of Reconstruction</w:t>
      </w:r>
      <w:r w:rsidR="005C3DBF" w:rsidRPr="001F2D53">
        <w:rPr>
          <w:rFonts w:ascii="Garamond" w:hAnsi="Garamond"/>
          <w:sz w:val="24"/>
        </w:rPr>
        <w:t>,</w:t>
      </w:r>
      <w:r w:rsidR="00703DBC" w:rsidRPr="001F2D53">
        <w:rPr>
          <w:rFonts w:ascii="Garamond" w:hAnsi="Garamond"/>
          <w:sz w:val="24"/>
        </w:rPr>
        <w:t xml:space="preserve"> </w:t>
      </w:r>
      <w:r w:rsidR="005C3DBF" w:rsidRPr="001F2D53">
        <w:rPr>
          <w:rFonts w:ascii="Garamond" w:hAnsi="Garamond"/>
          <w:sz w:val="24"/>
        </w:rPr>
        <w:t xml:space="preserve">developments in criminal and civil law, and </w:t>
      </w:r>
      <w:r w:rsidR="00703DBC" w:rsidRPr="001F2D53">
        <w:rPr>
          <w:rFonts w:ascii="Garamond" w:hAnsi="Garamond"/>
          <w:sz w:val="24"/>
        </w:rPr>
        <w:t>the rise of constitutional law as a form of government policymaking.  Special attention will be paid to</w:t>
      </w:r>
      <w:r w:rsidR="00A52F77" w:rsidRPr="001F2D53">
        <w:rPr>
          <w:rFonts w:ascii="Garamond" w:hAnsi="Garamond"/>
          <w:sz w:val="24"/>
        </w:rPr>
        <w:t xml:space="preserve"> subjects such as</w:t>
      </w:r>
      <w:r w:rsidR="00703DBC" w:rsidRPr="001F2D53">
        <w:rPr>
          <w:rFonts w:ascii="Garamond" w:hAnsi="Garamond"/>
          <w:sz w:val="24"/>
        </w:rPr>
        <w:t xml:space="preserve"> race, gender, sexual orientation, disability, and </w:t>
      </w:r>
      <w:hyperlink r:id="rId6" w:history="1">
        <w:r w:rsidR="00A52F77" w:rsidRPr="001F2D53">
          <w:rPr>
            <w:rStyle w:val="Hyperlink"/>
            <w:rFonts w:ascii="Garamond" w:hAnsi="Garamond"/>
            <w:sz w:val="24"/>
          </w:rPr>
          <w:t>critical legal studies</w:t>
        </w:r>
      </w:hyperlink>
      <w:r w:rsidR="00703DBC" w:rsidRPr="001F2D53">
        <w:rPr>
          <w:rFonts w:ascii="Garamond" w:hAnsi="Garamond"/>
          <w:sz w:val="24"/>
        </w:rPr>
        <w:t xml:space="preserve">.  </w:t>
      </w:r>
    </w:p>
    <w:p w:rsidR="00547F8B" w:rsidRPr="001F2D53" w:rsidRDefault="00547F8B" w:rsidP="00547F8B">
      <w:pPr>
        <w:rPr>
          <w:rFonts w:ascii="Garamond" w:hAnsi="Garamond" w:cs="Arial"/>
          <w:sz w:val="21"/>
          <w:szCs w:val="21"/>
        </w:rPr>
      </w:pPr>
    </w:p>
    <w:p w:rsidR="00703DBC" w:rsidRPr="001F2D53" w:rsidRDefault="00547F8B" w:rsidP="00703DBC">
      <w:pPr>
        <w:jc w:val="both"/>
        <w:rPr>
          <w:rFonts w:ascii="Garamond" w:hAnsi="Garamond" w:cs="Arial"/>
          <w:sz w:val="21"/>
          <w:szCs w:val="21"/>
        </w:rPr>
      </w:pPr>
      <w:r w:rsidRPr="001F2D53">
        <w:rPr>
          <w:rFonts w:ascii="Garamond" w:hAnsi="Garamond" w:cs="Arial"/>
          <w:b/>
          <w:sz w:val="21"/>
          <w:szCs w:val="21"/>
        </w:rPr>
        <w:t xml:space="preserve">Student Learning Outcomes: </w:t>
      </w:r>
      <w:r w:rsidR="00703DBC" w:rsidRPr="001F2D53">
        <w:rPr>
          <w:rFonts w:ascii="Garamond" w:hAnsi="Garamond" w:cs="Arial"/>
          <w:sz w:val="21"/>
          <w:szCs w:val="21"/>
        </w:rPr>
        <w:t xml:space="preserve">During this course, students will learn how to: </w:t>
      </w:r>
    </w:p>
    <w:p w:rsidR="00703DBC" w:rsidRPr="001F2D53" w:rsidRDefault="00703DBC" w:rsidP="00703DBC">
      <w:pPr>
        <w:ind w:left="720" w:hanging="720"/>
        <w:jc w:val="both"/>
        <w:rPr>
          <w:rFonts w:ascii="Garamond" w:hAnsi="Garamond" w:cs="Arial"/>
          <w:sz w:val="21"/>
          <w:szCs w:val="21"/>
        </w:rPr>
      </w:pPr>
      <w:r w:rsidRPr="001F2D53">
        <w:rPr>
          <w:rFonts w:ascii="Garamond" w:hAnsi="Garamond" w:cs="Arial"/>
          <w:sz w:val="21"/>
          <w:szCs w:val="21"/>
        </w:rPr>
        <w:t>•</w:t>
      </w:r>
      <w:r w:rsidRPr="001F2D53">
        <w:rPr>
          <w:rFonts w:ascii="Garamond" w:hAnsi="Garamond" w:cs="Arial"/>
          <w:sz w:val="21"/>
          <w:szCs w:val="21"/>
        </w:rPr>
        <w:tab/>
        <w:t>identify key events, peoples, individuals, terms, periods, and chronology of the legal history of the United States</w:t>
      </w:r>
    </w:p>
    <w:p w:rsidR="00703DBC" w:rsidRPr="001F2D53" w:rsidRDefault="00703DBC" w:rsidP="00703DBC">
      <w:pPr>
        <w:ind w:left="720" w:hanging="720"/>
        <w:jc w:val="both"/>
        <w:rPr>
          <w:rFonts w:ascii="Garamond" w:hAnsi="Garamond" w:cs="Arial"/>
          <w:sz w:val="21"/>
          <w:szCs w:val="21"/>
        </w:rPr>
      </w:pPr>
      <w:r w:rsidRPr="001F2D53">
        <w:rPr>
          <w:rFonts w:ascii="Garamond" w:hAnsi="Garamond" w:cs="Arial"/>
          <w:sz w:val="21"/>
          <w:szCs w:val="21"/>
        </w:rPr>
        <w:t>•</w:t>
      </w:r>
      <w:r w:rsidRPr="001F2D53">
        <w:rPr>
          <w:rFonts w:ascii="Garamond" w:hAnsi="Garamond" w:cs="Arial"/>
          <w:sz w:val="21"/>
          <w:szCs w:val="21"/>
        </w:rPr>
        <w:tab/>
        <w:t>develop critical thinking skills by discussing the living nature of legal history, using primary sources to critique competing interpretations of the same historical events, explaining the nature of controversies in legal history</w:t>
      </w:r>
    </w:p>
    <w:p w:rsidR="00703DBC" w:rsidRPr="001F2D53" w:rsidRDefault="00703DBC" w:rsidP="00703DBC">
      <w:pPr>
        <w:ind w:left="720" w:hanging="720"/>
        <w:jc w:val="both"/>
        <w:rPr>
          <w:rFonts w:ascii="Garamond" w:hAnsi="Garamond" w:cs="Arial"/>
          <w:sz w:val="21"/>
          <w:szCs w:val="21"/>
        </w:rPr>
      </w:pPr>
      <w:r w:rsidRPr="001F2D53">
        <w:rPr>
          <w:rFonts w:ascii="Garamond" w:hAnsi="Garamond" w:cs="Arial"/>
          <w:sz w:val="21"/>
          <w:szCs w:val="21"/>
        </w:rPr>
        <w:t>•</w:t>
      </w:r>
      <w:r w:rsidRPr="001F2D53">
        <w:rPr>
          <w:rFonts w:ascii="Garamond" w:hAnsi="Garamond" w:cs="Arial"/>
          <w:sz w:val="21"/>
          <w:szCs w:val="21"/>
        </w:rPr>
        <w:tab/>
        <w:t>synthesize diverse historical information and evidence related to broad themes of U.S. legal history and present this information in coherent, well-articulated, and well-substantiated analytical discussions and other written assignments</w:t>
      </w:r>
    </w:p>
    <w:p w:rsidR="00703DBC" w:rsidRPr="001F2D53" w:rsidRDefault="00703DBC" w:rsidP="00703DBC">
      <w:pPr>
        <w:ind w:left="720" w:hanging="720"/>
        <w:jc w:val="both"/>
        <w:rPr>
          <w:rFonts w:ascii="Garamond" w:hAnsi="Garamond" w:cs="Arial"/>
          <w:sz w:val="21"/>
          <w:szCs w:val="21"/>
        </w:rPr>
      </w:pPr>
      <w:r w:rsidRPr="001F2D53">
        <w:rPr>
          <w:rFonts w:ascii="Garamond" w:hAnsi="Garamond" w:cs="Arial"/>
          <w:sz w:val="21"/>
          <w:szCs w:val="21"/>
        </w:rPr>
        <w:t>•</w:t>
      </w:r>
      <w:r w:rsidRPr="001F2D53">
        <w:rPr>
          <w:rFonts w:ascii="Garamond" w:hAnsi="Garamond" w:cs="Arial"/>
          <w:sz w:val="21"/>
          <w:szCs w:val="21"/>
        </w:rPr>
        <w:tab/>
        <w:t xml:space="preserve">develop the ability to connect choices, actions, and consequences to decision making by examining the motivations and actions of key figures in U.S. legal history </w:t>
      </w:r>
    </w:p>
    <w:p w:rsidR="00BC550F" w:rsidRPr="001F2D53" w:rsidRDefault="00BC550F" w:rsidP="00703DBC">
      <w:pPr>
        <w:jc w:val="both"/>
        <w:rPr>
          <w:rFonts w:ascii="Garamond" w:eastAsia="Times New Roman" w:hAnsi="Garamond"/>
          <w:sz w:val="21"/>
        </w:rPr>
      </w:pPr>
    </w:p>
    <w:p w:rsidR="000C62EA" w:rsidRPr="001F2D53" w:rsidRDefault="00547F8B" w:rsidP="000C62EA">
      <w:pPr>
        <w:rPr>
          <w:rFonts w:ascii="Garamond" w:hAnsi="Garamond"/>
          <w:bCs/>
          <w:sz w:val="21"/>
        </w:rPr>
      </w:pPr>
      <w:r w:rsidRPr="001F2D53">
        <w:rPr>
          <w:rFonts w:ascii="Garamond" w:hAnsi="Garamond" w:cs="Arial"/>
          <w:b/>
          <w:sz w:val="21"/>
          <w:szCs w:val="21"/>
        </w:rPr>
        <w:t xml:space="preserve">Required Textbooks and Other Course Materials: </w:t>
      </w:r>
      <w:r w:rsidR="000C62EA" w:rsidRPr="001F2D53">
        <w:rPr>
          <w:rFonts w:ascii="Garamond" w:hAnsi="Garamond"/>
          <w:bCs/>
          <w:sz w:val="21"/>
        </w:rPr>
        <w:t xml:space="preserve">Hall, Kermit L. and Paul Finkelman. </w:t>
      </w:r>
      <w:r w:rsidR="000C62EA" w:rsidRPr="001F2D53">
        <w:rPr>
          <w:rFonts w:ascii="Garamond" w:hAnsi="Garamond"/>
          <w:bCs/>
          <w:i/>
          <w:sz w:val="21"/>
        </w:rPr>
        <w:t>American Legal History</w:t>
      </w:r>
      <w:r w:rsidR="000C62EA" w:rsidRPr="001F2D53">
        <w:rPr>
          <w:rFonts w:ascii="Garamond" w:hAnsi="Garamond"/>
          <w:bCs/>
          <w:sz w:val="21"/>
        </w:rPr>
        <w:t xml:space="preserve">: </w:t>
      </w:r>
      <w:r w:rsidR="000C62EA" w:rsidRPr="001F2D53">
        <w:rPr>
          <w:rFonts w:ascii="Garamond" w:hAnsi="Garamond"/>
          <w:bCs/>
          <w:i/>
          <w:sz w:val="21"/>
        </w:rPr>
        <w:t>Cases and Materials</w:t>
      </w:r>
      <w:r w:rsidR="000C62EA" w:rsidRPr="001F2D53">
        <w:rPr>
          <w:rFonts w:ascii="Garamond" w:hAnsi="Garamond"/>
          <w:bCs/>
          <w:sz w:val="21"/>
        </w:rPr>
        <w:t xml:space="preserve"> (4</w:t>
      </w:r>
      <w:r w:rsidR="000C62EA" w:rsidRPr="001F2D53">
        <w:rPr>
          <w:rFonts w:ascii="Garamond" w:hAnsi="Garamond"/>
          <w:bCs/>
          <w:sz w:val="21"/>
          <w:vertAlign w:val="superscript"/>
        </w:rPr>
        <w:t>th</w:t>
      </w:r>
      <w:r w:rsidR="000C62EA" w:rsidRPr="001F2D53">
        <w:rPr>
          <w:rFonts w:ascii="Garamond" w:hAnsi="Garamond"/>
          <w:bCs/>
          <w:sz w:val="21"/>
        </w:rPr>
        <w:t xml:space="preserve"> edition, 2011).</w:t>
      </w:r>
    </w:p>
    <w:p w:rsidR="000C62EA" w:rsidRPr="001F2D53" w:rsidRDefault="000C62EA" w:rsidP="000C62EA">
      <w:pPr>
        <w:rPr>
          <w:rFonts w:ascii="Garamond" w:hAnsi="Garamond"/>
          <w:bCs/>
          <w:sz w:val="21"/>
        </w:rPr>
      </w:pPr>
    </w:p>
    <w:p w:rsidR="00BC550F" w:rsidRPr="001F2D53" w:rsidRDefault="000C62EA" w:rsidP="000C62EA">
      <w:pPr>
        <w:rPr>
          <w:rFonts w:ascii="Garamond" w:hAnsi="Garamond"/>
          <w:bCs/>
          <w:sz w:val="21"/>
        </w:rPr>
      </w:pPr>
      <w:r w:rsidRPr="001F2D53">
        <w:rPr>
          <w:rFonts w:ascii="Garamond" w:hAnsi="Garamond"/>
          <w:bCs/>
          <w:sz w:val="21"/>
        </w:rPr>
        <w:t xml:space="preserve">Friedman, Lawrence. </w:t>
      </w:r>
      <w:r w:rsidRPr="001F2D53">
        <w:rPr>
          <w:rFonts w:ascii="Garamond" w:hAnsi="Garamond"/>
          <w:bCs/>
          <w:i/>
          <w:sz w:val="21"/>
        </w:rPr>
        <w:t>American Law in the 20</w:t>
      </w:r>
      <w:r w:rsidRPr="001F2D53">
        <w:rPr>
          <w:rFonts w:ascii="Garamond" w:hAnsi="Garamond"/>
          <w:bCs/>
          <w:i/>
          <w:sz w:val="21"/>
          <w:vertAlign w:val="superscript"/>
        </w:rPr>
        <w:t>th</w:t>
      </w:r>
      <w:r w:rsidRPr="001F2D53">
        <w:rPr>
          <w:rFonts w:ascii="Garamond" w:hAnsi="Garamond"/>
          <w:bCs/>
          <w:i/>
          <w:sz w:val="21"/>
        </w:rPr>
        <w:t xml:space="preserve"> Century </w:t>
      </w:r>
      <w:r w:rsidR="00177C13">
        <w:rPr>
          <w:rFonts w:ascii="Garamond" w:hAnsi="Garamond"/>
          <w:bCs/>
          <w:sz w:val="21"/>
        </w:rPr>
        <w:t>(2002). (Ava</w:t>
      </w:r>
      <w:r w:rsidR="0090044D">
        <w:rPr>
          <w:rFonts w:ascii="Garamond" w:hAnsi="Garamond"/>
          <w:bCs/>
          <w:sz w:val="21"/>
        </w:rPr>
        <w:t xml:space="preserve">ilable in “Course Materials” on </w:t>
      </w:r>
      <w:r w:rsidR="00177C13">
        <w:rPr>
          <w:rFonts w:ascii="Garamond" w:hAnsi="Garamond"/>
          <w:bCs/>
          <w:sz w:val="21"/>
        </w:rPr>
        <w:t>Blackboard)</w:t>
      </w:r>
    </w:p>
    <w:p w:rsidR="0086148A" w:rsidRPr="001F2D53" w:rsidRDefault="0086148A" w:rsidP="00547F8B">
      <w:pPr>
        <w:rPr>
          <w:rFonts w:ascii="Garamond" w:hAnsi="Garamond" w:cs="Arial"/>
          <w:sz w:val="21"/>
          <w:szCs w:val="21"/>
        </w:rPr>
      </w:pPr>
    </w:p>
    <w:p w:rsidR="00547F8B" w:rsidRPr="001F2D53" w:rsidRDefault="00547F8B" w:rsidP="00547F8B">
      <w:pPr>
        <w:rPr>
          <w:rFonts w:ascii="Garamond" w:hAnsi="Garamond" w:cs="Arial"/>
          <w:sz w:val="21"/>
          <w:szCs w:val="21"/>
        </w:rPr>
      </w:pPr>
    </w:p>
    <w:p w:rsidR="009D21C8" w:rsidRPr="001F2D53" w:rsidRDefault="00B774D3" w:rsidP="00542F2E">
      <w:pPr>
        <w:jc w:val="both"/>
        <w:rPr>
          <w:rFonts w:ascii="Garamond" w:hAnsi="Garamond"/>
          <w:sz w:val="21"/>
        </w:rPr>
      </w:pPr>
      <w:r w:rsidRPr="001F2D53">
        <w:rPr>
          <w:rFonts w:ascii="Garamond" w:hAnsi="Garamond"/>
          <w:b/>
          <w:sz w:val="21"/>
        </w:rPr>
        <w:t xml:space="preserve">Grading:  </w:t>
      </w:r>
      <w:r w:rsidR="00542F2E" w:rsidRPr="001F2D53">
        <w:rPr>
          <w:rFonts w:ascii="Garamond" w:hAnsi="Garamond"/>
          <w:sz w:val="21"/>
        </w:rPr>
        <w:t>Your grade will consist of four components:</w:t>
      </w:r>
    </w:p>
    <w:p w:rsidR="00542F2E" w:rsidRPr="001F2D53" w:rsidRDefault="00542F2E" w:rsidP="00542F2E">
      <w:pPr>
        <w:jc w:val="both"/>
        <w:rPr>
          <w:rFonts w:ascii="Garamond" w:hAnsi="Garamond"/>
          <w:sz w:val="21"/>
        </w:rPr>
      </w:pPr>
    </w:p>
    <w:p w:rsidR="00542F2E" w:rsidRPr="001F2D53" w:rsidRDefault="00542F2E" w:rsidP="00542F2E">
      <w:pPr>
        <w:jc w:val="both"/>
        <w:rPr>
          <w:rFonts w:ascii="Garamond" w:hAnsi="Garamond"/>
          <w:sz w:val="21"/>
        </w:rPr>
      </w:pPr>
      <w:r w:rsidRPr="001F2D53">
        <w:rPr>
          <w:rFonts w:ascii="Garamond" w:hAnsi="Garamond"/>
          <w:sz w:val="21"/>
        </w:rPr>
        <w:tab/>
      </w:r>
      <w:r w:rsidRPr="001F2D53">
        <w:rPr>
          <w:rFonts w:ascii="Garamond" w:hAnsi="Garamond"/>
          <w:sz w:val="21"/>
        </w:rPr>
        <w:tab/>
      </w:r>
    </w:p>
    <w:p w:rsidR="00542F2E" w:rsidRPr="001F2D53" w:rsidRDefault="00542F2E" w:rsidP="00542F2E">
      <w:pPr>
        <w:jc w:val="both"/>
        <w:rPr>
          <w:rFonts w:ascii="Garamond" w:hAnsi="Garamond"/>
          <w:sz w:val="21"/>
        </w:rPr>
      </w:pPr>
      <w:r w:rsidRPr="001F2D53">
        <w:rPr>
          <w:rFonts w:ascii="Garamond" w:hAnsi="Garamond"/>
          <w:sz w:val="21"/>
        </w:rPr>
        <w:tab/>
      </w:r>
      <w:r w:rsidR="00A52F77" w:rsidRPr="001F2D53">
        <w:rPr>
          <w:rFonts w:ascii="Garamond" w:hAnsi="Garamond"/>
          <w:sz w:val="21"/>
        </w:rPr>
        <w:tab/>
      </w:r>
      <w:r w:rsidRPr="001F2D53">
        <w:rPr>
          <w:rFonts w:ascii="Garamond" w:hAnsi="Garamond"/>
          <w:b/>
          <w:sz w:val="21"/>
        </w:rPr>
        <w:t>Midterm examination</w:t>
      </w:r>
      <w:r w:rsidRPr="001F2D53">
        <w:rPr>
          <w:rFonts w:ascii="Garamond" w:hAnsi="Garamond"/>
          <w:sz w:val="21"/>
        </w:rPr>
        <w:t xml:space="preserve">: </w:t>
      </w:r>
      <w:r w:rsidRPr="001F2D53">
        <w:rPr>
          <w:rFonts w:ascii="Garamond" w:hAnsi="Garamond"/>
          <w:sz w:val="21"/>
        </w:rPr>
        <w:tab/>
      </w:r>
      <w:r w:rsidR="004D7925" w:rsidRPr="001F2D53">
        <w:rPr>
          <w:rFonts w:ascii="Garamond" w:hAnsi="Garamond"/>
          <w:sz w:val="21"/>
        </w:rPr>
        <w:tab/>
      </w:r>
      <w:r w:rsidR="00A52F77" w:rsidRPr="001F2D53">
        <w:rPr>
          <w:rFonts w:ascii="Garamond" w:hAnsi="Garamond"/>
          <w:sz w:val="21"/>
        </w:rPr>
        <w:t>33.3</w:t>
      </w:r>
      <w:r w:rsidRPr="001F2D53">
        <w:rPr>
          <w:rFonts w:ascii="Garamond" w:hAnsi="Garamond"/>
          <w:sz w:val="21"/>
        </w:rPr>
        <w:t>%</w:t>
      </w:r>
    </w:p>
    <w:p w:rsidR="00542F2E" w:rsidRPr="001F2D53" w:rsidRDefault="00542F2E" w:rsidP="00542F2E">
      <w:pPr>
        <w:jc w:val="both"/>
        <w:rPr>
          <w:rFonts w:ascii="Garamond" w:hAnsi="Garamond"/>
          <w:sz w:val="21"/>
        </w:rPr>
      </w:pPr>
      <w:r w:rsidRPr="001F2D53">
        <w:rPr>
          <w:rFonts w:ascii="Garamond" w:hAnsi="Garamond"/>
          <w:sz w:val="21"/>
        </w:rPr>
        <w:tab/>
      </w:r>
      <w:r w:rsidRPr="001F2D53">
        <w:rPr>
          <w:rFonts w:ascii="Garamond" w:hAnsi="Garamond"/>
          <w:sz w:val="21"/>
        </w:rPr>
        <w:tab/>
      </w:r>
      <w:r w:rsidRPr="001F2D53">
        <w:rPr>
          <w:rFonts w:ascii="Garamond" w:hAnsi="Garamond"/>
          <w:b/>
          <w:sz w:val="21"/>
        </w:rPr>
        <w:t>Final examination</w:t>
      </w:r>
      <w:r w:rsidRPr="001F2D53">
        <w:rPr>
          <w:rFonts w:ascii="Garamond" w:hAnsi="Garamond"/>
          <w:sz w:val="21"/>
        </w:rPr>
        <w:t>:</w:t>
      </w:r>
      <w:r w:rsidRPr="001F2D53">
        <w:rPr>
          <w:rFonts w:ascii="Garamond" w:hAnsi="Garamond"/>
          <w:sz w:val="21"/>
        </w:rPr>
        <w:tab/>
      </w:r>
      <w:r w:rsidRPr="001F2D53">
        <w:rPr>
          <w:rFonts w:ascii="Garamond" w:hAnsi="Garamond"/>
          <w:sz w:val="21"/>
        </w:rPr>
        <w:tab/>
      </w:r>
      <w:r w:rsidR="00A52F77" w:rsidRPr="001F2D53">
        <w:rPr>
          <w:rFonts w:ascii="Garamond" w:hAnsi="Garamond"/>
          <w:sz w:val="21"/>
        </w:rPr>
        <w:t>33.3</w:t>
      </w:r>
      <w:r w:rsidRPr="001F2D53">
        <w:rPr>
          <w:rFonts w:ascii="Garamond" w:hAnsi="Garamond"/>
          <w:sz w:val="21"/>
        </w:rPr>
        <w:t>%</w:t>
      </w:r>
    </w:p>
    <w:p w:rsidR="00542F2E" w:rsidRPr="001F2D53" w:rsidRDefault="00542F2E" w:rsidP="00542F2E">
      <w:pPr>
        <w:jc w:val="both"/>
        <w:rPr>
          <w:rFonts w:ascii="Garamond" w:hAnsi="Garamond"/>
          <w:sz w:val="21"/>
        </w:rPr>
      </w:pPr>
      <w:r w:rsidRPr="001F2D53">
        <w:rPr>
          <w:rFonts w:ascii="Garamond" w:hAnsi="Garamond"/>
          <w:sz w:val="21"/>
        </w:rPr>
        <w:tab/>
      </w:r>
      <w:r w:rsidRPr="001F2D53">
        <w:rPr>
          <w:rFonts w:ascii="Garamond" w:hAnsi="Garamond"/>
          <w:sz w:val="21"/>
        </w:rPr>
        <w:tab/>
      </w:r>
      <w:r w:rsidR="00177C13">
        <w:rPr>
          <w:rFonts w:ascii="Garamond" w:hAnsi="Garamond"/>
          <w:b/>
          <w:sz w:val="21"/>
        </w:rPr>
        <w:t>Case briefs (2</w:t>
      </w:r>
      <w:r w:rsidRPr="001F2D53">
        <w:rPr>
          <w:rFonts w:ascii="Garamond" w:hAnsi="Garamond"/>
          <w:b/>
          <w:sz w:val="21"/>
        </w:rPr>
        <w:t>)</w:t>
      </w:r>
      <w:r w:rsidRPr="001F2D53">
        <w:rPr>
          <w:rFonts w:ascii="Garamond" w:hAnsi="Garamond"/>
          <w:sz w:val="21"/>
        </w:rPr>
        <w:t>:</w:t>
      </w:r>
      <w:r w:rsidRPr="001F2D53">
        <w:rPr>
          <w:rFonts w:ascii="Garamond" w:hAnsi="Garamond"/>
          <w:sz w:val="21"/>
        </w:rPr>
        <w:tab/>
      </w:r>
      <w:r w:rsidRPr="001F2D53">
        <w:rPr>
          <w:rFonts w:ascii="Garamond" w:hAnsi="Garamond"/>
          <w:sz w:val="21"/>
        </w:rPr>
        <w:tab/>
      </w:r>
      <w:r w:rsidR="004D7925" w:rsidRPr="001F2D53">
        <w:rPr>
          <w:rFonts w:ascii="Garamond" w:hAnsi="Garamond"/>
          <w:sz w:val="21"/>
        </w:rPr>
        <w:tab/>
      </w:r>
      <w:r w:rsidR="00A52F77" w:rsidRPr="001F2D53">
        <w:rPr>
          <w:rFonts w:ascii="Garamond" w:hAnsi="Garamond"/>
          <w:sz w:val="21"/>
        </w:rPr>
        <w:t>33.3</w:t>
      </w:r>
      <w:r w:rsidRPr="001F2D53">
        <w:rPr>
          <w:rFonts w:ascii="Garamond" w:hAnsi="Garamond"/>
          <w:sz w:val="21"/>
        </w:rPr>
        <w:t>%</w:t>
      </w:r>
    </w:p>
    <w:p w:rsidR="008C01B5" w:rsidRPr="001F2D53" w:rsidRDefault="008C01B5" w:rsidP="00547F8B">
      <w:pPr>
        <w:rPr>
          <w:rFonts w:ascii="Garamond" w:hAnsi="Garamond" w:cs="Arial"/>
          <w:sz w:val="21"/>
          <w:szCs w:val="21"/>
        </w:rPr>
      </w:pPr>
    </w:p>
    <w:p w:rsidR="001E34D0" w:rsidRPr="001F2D53" w:rsidRDefault="001E34D0" w:rsidP="001E34D0">
      <w:pPr>
        <w:rPr>
          <w:rFonts w:ascii="Garamond" w:hAnsi="Garamond" w:cs="Arial"/>
          <w:sz w:val="21"/>
          <w:szCs w:val="21"/>
        </w:rPr>
      </w:pPr>
    </w:p>
    <w:p w:rsidR="008C01B5" w:rsidRPr="001F2D53" w:rsidRDefault="001E34D0" w:rsidP="001E34D0">
      <w:pPr>
        <w:rPr>
          <w:rFonts w:ascii="Garamond" w:hAnsi="Garamond" w:cs="Arial"/>
          <w:sz w:val="21"/>
          <w:szCs w:val="21"/>
        </w:rPr>
      </w:pPr>
      <w:r w:rsidRPr="001F2D53">
        <w:rPr>
          <w:rFonts w:ascii="Garamond" w:hAnsi="Garamond"/>
          <w:sz w:val="21"/>
        </w:rPr>
        <w:t>Because this is an uppe</w:t>
      </w:r>
      <w:r w:rsidR="00832BF4" w:rsidRPr="001F2D53">
        <w:rPr>
          <w:rFonts w:ascii="Garamond" w:hAnsi="Garamond"/>
          <w:sz w:val="21"/>
        </w:rPr>
        <w:t>r-division course with a heavy</w:t>
      </w:r>
      <w:r w:rsidRPr="001F2D53">
        <w:rPr>
          <w:rFonts w:ascii="Garamond" w:hAnsi="Garamond"/>
          <w:sz w:val="21"/>
        </w:rPr>
        <w:t xml:space="preserve"> reading load, it will only be as successful as the preparation and thoughtfulness of its participants.  You are expected to read all of the required readings carefully before each class and come prepared to discuss those readings in class.</w:t>
      </w:r>
    </w:p>
    <w:p w:rsidR="009D21C8" w:rsidRPr="001F2D53" w:rsidRDefault="009D21C8" w:rsidP="00547F8B">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b/>
          <w:sz w:val="21"/>
          <w:szCs w:val="21"/>
        </w:rPr>
        <w:t xml:space="preserve">Descriptions of major assignments and examinations: </w:t>
      </w:r>
      <w:r w:rsidRPr="001F2D53">
        <w:rPr>
          <w:rFonts w:ascii="Garamond" w:hAnsi="Garamond" w:cs="Arial"/>
          <w:sz w:val="21"/>
          <w:szCs w:val="21"/>
        </w:rPr>
        <w:t xml:space="preserve">The </w:t>
      </w:r>
      <w:r w:rsidRPr="001F2D53">
        <w:rPr>
          <w:rFonts w:ascii="Garamond" w:hAnsi="Garamond" w:cs="Arial"/>
          <w:b/>
          <w:sz w:val="21"/>
          <w:szCs w:val="21"/>
        </w:rPr>
        <w:t>midterm examination</w:t>
      </w:r>
      <w:r w:rsidR="00854D0D" w:rsidRPr="001F2D53">
        <w:rPr>
          <w:rFonts w:ascii="Garamond" w:hAnsi="Garamond" w:cs="Arial"/>
          <w:b/>
          <w:sz w:val="21"/>
          <w:szCs w:val="21"/>
        </w:rPr>
        <w:t xml:space="preserve"> </w:t>
      </w:r>
      <w:r w:rsidRPr="001F2D53">
        <w:rPr>
          <w:rFonts w:ascii="Garamond" w:hAnsi="Garamond" w:cs="Arial"/>
          <w:sz w:val="21"/>
          <w:szCs w:val="21"/>
        </w:rPr>
        <w:t xml:space="preserve">and </w:t>
      </w:r>
      <w:r w:rsidRPr="001F2D53">
        <w:rPr>
          <w:rFonts w:ascii="Garamond" w:hAnsi="Garamond" w:cs="Arial"/>
          <w:b/>
          <w:sz w:val="21"/>
          <w:szCs w:val="21"/>
        </w:rPr>
        <w:t xml:space="preserve">final examination </w:t>
      </w:r>
      <w:r w:rsidRPr="001F2D53">
        <w:rPr>
          <w:rFonts w:ascii="Garamond" w:hAnsi="Garamond" w:cs="Arial"/>
          <w:sz w:val="21"/>
          <w:szCs w:val="21"/>
        </w:rPr>
        <w:t xml:space="preserve">consist of short-answer and essay questions. </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The </w:t>
      </w:r>
      <w:r w:rsidRPr="001F2D53">
        <w:rPr>
          <w:rFonts w:ascii="Garamond" w:hAnsi="Garamond" w:cs="Arial"/>
          <w:b/>
          <w:sz w:val="21"/>
          <w:szCs w:val="21"/>
        </w:rPr>
        <w:t xml:space="preserve">case brief </w:t>
      </w:r>
      <w:r w:rsidR="000C62EA" w:rsidRPr="001F2D53">
        <w:rPr>
          <w:rFonts w:ascii="Garamond" w:hAnsi="Garamond" w:cs="Arial"/>
          <w:sz w:val="21"/>
          <w:szCs w:val="21"/>
        </w:rPr>
        <w:t>(of which 3</w:t>
      </w:r>
      <w:r w:rsidRPr="001F2D53">
        <w:rPr>
          <w:rFonts w:ascii="Garamond" w:hAnsi="Garamond" w:cs="Arial"/>
          <w:sz w:val="21"/>
          <w:szCs w:val="21"/>
        </w:rPr>
        <w:t xml:space="preserve"> will be turned in during the course of the semester) is a </w:t>
      </w:r>
      <w:r w:rsidR="00177C13">
        <w:rPr>
          <w:rFonts w:ascii="Garamond" w:hAnsi="Garamond" w:cs="Arial"/>
          <w:sz w:val="21"/>
          <w:szCs w:val="21"/>
        </w:rPr>
        <w:t>4-6</w:t>
      </w:r>
      <w:r w:rsidRPr="001F2D53">
        <w:rPr>
          <w:rFonts w:ascii="Garamond" w:hAnsi="Garamond" w:cs="Arial"/>
          <w:sz w:val="21"/>
          <w:szCs w:val="21"/>
        </w:rPr>
        <w:t xml:space="preserve"> page, </w:t>
      </w:r>
      <w:r w:rsidR="00177C13">
        <w:rPr>
          <w:rFonts w:ascii="Garamond" w:hAnsi="Garamond" w:cs="Arial"/>
          <w:sz w:val="21"/>
          <w:szCs w:val="21"/>
        </w:rPr>
        <w:t>1.5-</w:t>
      </w:r>
      <w:r w:rsidRPr="001F2D53">
        <w:rPr>
          <w:rFonts w:ascii="Garamond" w:hAnsi="Garamond" w:cs="Arial"/>
          <w:sz w:val="21"/>
          <w:szCs w:val="21"/>
        </w:rPr>
        <w:t>spaced document in which you will address the following points in a systematic manner for that week’s “assigned case”:</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1) The relevant </w:t>
      </w:r>
      <w:r w:rsidRPr="001F2D53">
        <w:rPr>
          <w:rFonts w:ascii="Garamond" w:hAnsi="Garamond" w:cs="Arial"/>
          <w:i/>
          <w:sz w:val="21"/>
          <w:szCs w:val="21"/>
        </w:rPr>
        <w:t xml:space="preserve">facts </w:t>
      </w:r>
      <w:r w:rsidRPr="001F2D53">
        <w:rPr>
          <w:rFonts w:ascii="Garamond" w:hAnsi="Garamond" w:cs="Arial"/>
          <w:sz w:val="21"/>
          <w:szCs w:val="21"/>
        </w:rPr>
        <w:t>of the case.</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2) The specific </w:t>
      </w:r>
      <w:r w:rsidRPr="001F2D53">
        <w:rPr>
          <w:rFonts w:ascii="Garamond" w:hAnsi="Garamond" w:cs="Arial"/>
          <w:i/>
          <w:sz w:val="21"/>
          <w:szCs w:val="21"/>
        </w:rPr>
        <w:t xml:space="preserve">holding </w:t>
      </w:r>
      <w:r w:rsidRPr="001F2D53">
        <w:rPr>
          <w:rFonts w:ascii="Garamond" w:hAnsi="Garamond" w:cs="Arial"/>
          <w:sz w:val="21"/>
          <w:szCs w:val="21"/>
        </w:rPr>
        <w:t>of the case, as announced by the writer of the majority opinion.</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3) An analysis of the court’s </w:t>
      </w:r>
      <w:r w:rsidRPr="001F2D53">
        <w:rPr>
          <w:rFonts w:ascii="Garamond" w:hAnsi="Garamond" w:cs="Arial"/>
          <w:i/>
          <w:sz w:val="21"/>
          <w:szCs w:val="21"/>
        </w:rPr>
        <w:t xml:space="preserve">reasoning </w:t>
      </w:r>
      <w:r w:rsidRPr="001F2D53">
        <w:rPr>
          <w:rFonts w:ascii="Garamond" w:hAnsi="Garamond" w:cs="Arial"/>
          <w:sz w:val="21"/>
          <w:szCs w:val="21"/>
        </w:rPr>
        <w:t xml:space="preserve">in reaching its decision, making reference to important </w:t>
      </w:r>
      <w:r w:rsidRPr="001F2D53">
        <w:rPr>
          <w:rFonts w:ascii="Garamond" w:hAnsi="Garamond" w:cs="Arial"/>
          <w:i/>
          <w:sz w:val="21"/>
          <w:szCs w:val="21"/>
        </w:rPr>
        <w:t>precedents</w:t>
      </w:r>
      <w:r w:rsidRPr="001F2D53">
        <w:rPr>
          <w:rFonts w:ascii="Garamond" w:hAnsi="Garamond" w:cs="Arial"/>
          <w:sz w:val="21"/>
          <w:szCs w:val="21"/>
        </w:rPr>
        <w:t xml:space="preserve"> that may have impelled this result.</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4)  A short discussion of the </w:t>
      </w:r>
      <w:r w:rsidRPr="001F2D53">
        <w:rPr>
          <w:rFonts w:ascii="Garamond" w:hAnsi="Garamond" w:cs="Arial"/>
          <w:i/>
          <w:sz w:val="21"/>
          <w:szCs w:val="21"/>
        </w:rPr>
        <w:t>dissent</w:t>
      </w:r>
      <w:r w:rsidRPr="001F2D53">
        <w:rPr>
          <w:rFonts w:ascii="Garamond" w:hAnsi="Garamond" w:cs="Arial"/>
          <w:sz w:val="21"/>
          <w:szCs w:val="21"/>
        </w:rPr>
        <w:t>, in situations where I advise you beforehand that such a discussion is warranted.</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5) A detailed treatment of the case’s </w:t>
      </w:r>
      <w:r w:rsidRPr="001F2D53">
        <w:rPr>
          <w:rFonts w:ascii="Garamond" w:hAnsi="Garamond" w:cs="Arial"/>
          <w:i/>
          <w:sz w:val="21"/>
          <w:szCs w:val="21"/>
        </w:rPr>
        <w:t>historical significance</w:t>
      </w:r>
      <w:r w:rsidRPr="001F2D53">
        <w:rPr>
          <w:rFonts w:ascii="Garamond" w:hAnsi="Garamond" w:cs="Arial"/>
          <w:sz w:val="21"/>
          <w:szCs w:val="21"/>
        </w:rPr>
        <w:t>.  This section should comprise at least 50% of your brief and consist of a careful summary of the social, political, and cultural impact of the case, as supported by citations from one of the required</w:t>
      </w:r>
      <w:r w:rsidR="002D4815" w:rsidRPr="001F2D53">
        <w:rPr>
          <w:rFonts w:ascii="Garamond" w:hAnsi="Garamond" w:cs="Arial"/>
          <w:sz w:val="21"/>
          <w:szCs w:val="21"/>
        </w:rPr>
        <w:t xml:space="preserve"> text for this classic or a scholarly article found</w:t>
      </w:r>
      <w:r w:rsidRPr="001F2D53">
        <w:rPr>
          <w:rFonts w:ascii="Garamond" w:hAnsi="Garamond" w:cs="Arial"/>
          <w:sz w:val="21"/>
          <w:szCs w:val="21"/>
        </w:rPr>
        <w:t xml:space="preserve"> using a searchable archive such as HeinOnline.</w:t>
      </w:r>
    </w:p>
    <w:p w:rsidR="009D21C8" w:rsidRPr="001F2D53" w:rsidRDefault="009D21C8" w:rsidP="009D21C8">
      <w:pPr>
        <w:rPr>
          <w:rFonts w:ascii="Garamond" w:hAnsi="Garamond" w:cs="Arial"/>
          <w:sz w:val="21"/>
          <w:szCs w:val="21"/>
        </w:rPr>
      </w:pPr>
    </w:p>
    <w:p w:rsidR="009D21C8" w:rsidRPr="001F2D53" w:rsidRDefault="009D21C8" w:rsidP="009D21C8">
      <w:pPr>
        <w:rPr>
          <w:rFonts w:ascii="Garamond" w:hAnsi="Garamond" w:cs="Arial"/>
          <w:sz w:val="21"/>
          <w:szCs w:val="21"/>
        </w:rPr>
      </w:pPr>
      <w:r w:rsidRPr="001F2D53">
        <w:rPr>
          <w:rFonts w:ascii="Garamond" w:hAnsi="Garamond" w:cs="Arial"/>
          <w:sz w:val="21"/>
          <w:szCs w:val="21"/>
        </w:rPr>
        <w:t xml:space="preserve">Since some—though by no means </w:t>
      </w:r>
      <w:r w:rsidRPr="001F2D53">
        <w:rPr>
          <w:rFonts w:ascii="Garamond" w:hAnsi="Garamond" w:cs="Arial"/>
          <w:i/>
          <w:sz w:val="21"/>
          <w:szCs w:val="21"/>
        </w:rPr>
        <w:t>all</w:t>
      </w:r>
      <w:r w:rsidRPr="001F2D53">
        <w:rPr>
          <w:rFonts w:ascii="Garamond" w:hAnsi="Garamond" w:cs="Arial"/>
          <w:sz w:val="21"/>
          <w:szCs w:val="21"/>
        </w:rPr>
        <w:t xml:space="preserve">—of you have enrolled in this course as a sort of “introduction” to the course of study offered at a law school, I will attempt to simulate the experience of </w:t>
      </w:r>
      <w:r w:rsidRPr="001F2D53">
        <w:rPr>
          <w:rFonts w:ascii="Garamond" w:hAnsi="Garamond" w:cs="Arial"/>
          <w:i/>
          <w:sz w:val="21"/>
          <w:szCs w:val="21"/>
        </w:rPr>
        <w:t>thinking like a lawyer</w:t>
      </w:r>
      <w:r w:rsidRPr="001F2D53">
        <w:rPr>
          <w:rFonts w:ascii="Garamond" w:hAnsi="Garamond" w:cs="Arial"/>
          <w:sz w:val="21"/>
          <w:szCs w:val="21"/>
        </w:rPr>
        <w:t xml:space="preserve"> as nearly as I can while nonetheless still accounting for the competing (and certainly no less pressing) demands of </w:t>
      </w:r>
      <w:r w:rsidRPr="001F2D53">
        <w:rPr>
          <w:rFonts w:ascii="Garamond" w:hAnsi="Garamond" w:cs="Arial"/>
          <w:i/>
          <w:sz w:val="21"/>
          <w:szCs w:val="21"/>
        </w:rPr>
        <w:t>teaching you how to think about the past</w:t>
      </w:r>
      <w:r w:rsidRPr="001F2D53">
        <w:rPr>
          <w:rFonts w:ascii="Garamond" w:hAnsi="Garamond" w:cs="Arial"/>
          <w:sz w:val="21"/>
          <w:szCs w:val="21"/>
        </w:rPr>
        <w:t xml:space="preserve">.  </w:t>
      </w:r>
    </w:p>
    <w:p w:rsidR="009D21C8" w:rsidRPr="001F2D53" w:rsidRDefault="009D21C8" w:rsidP="009D21C8">
      <w:pPr>
        <w:rPr>
          <w:rFonts w:ascii="Garamond" w:hAnsi="Garamond" w:cs="Arial"/>
          <w:sz w:val="21"/>
          <w:szCs w:val="21"/>
        </w:rPr>
      </w:pPr>
    </w:p>
    <w:p w:rsidR="00511318" w:rsidRPr="001F2D53" w:rsidRDefault="00547F8B" w:rsidP="00511318">
      <w:pPr>
        <w:rPr>
          <w:rFonts w:ascii="Garamond" w:hAnsi="Garamond" w:cs="Arial"/>
          <w:b/>
          <w:sz w:val="21"/>
          <w:szCs w:val="21"/>
        </w:rPr>
      </w:pPr>
      <w:r w:rsidRPr="001F2D53">
        <w:rPr>
          <w:rFonts w:ascii="Garamond" w:hAnsi="Garamond" w:cs="Arial"/>
          <w:b/>
          <w:sz w:val="21"/>
          <w:szCs w:val="21"/>
        </w:rPr>
        <w:t>Course Schedule</w:t>
      </w:r>
      <w:r w:rsidR="00511318" w:rsidRPr="001F2D53">
        <w:rPr>
          <w:rFonts w:ascii="Garamond" w:hAnsi="Garamond" w:cs="Arial"/>
          <w:b/>
          <w:sz w:val="21"/>
          <w:szCs w:val="21"/>
        </w:rPr>
        <w:t xml:space="preserve">:  </w:t>
      </w:r>
    </w:p>
    <w:p w:rsidR="00177C13" w:rsidRDefault="00177C13" w:rsidP="00A52F77">
      <w:pPr>
        <w:rPr>
          <w:rFonts w:ascii="Garamond" w:hAnsi="Garamond" w:cs="Arial"/>
          <w:b/>
          <w:sz w:val="21"/>
          <w:szCs w:val="21"/>
        </w:rPr>
      </w:pPr>
    </w:p>
    <w:p w:rsidR="00A52F77" w:rsidRPr="00177C13" w:rsidRDefault="00177C13" w:rsidP="00A52F77">
      <w:pPr>
        <w:rPr>
          <w:rFonts w:ascii="Garamond" w:hAnsi="Garamond" w:cs="Arial"/>
          <w:i/>
          <w:sz w:val="24"/>
          <w:szCs w:val="24"/>
        </w:rPr>
      </w:pPr>
      <w:r w:rsidRPr="00177C13">
        <w:rPr>
          <w:rFonts w:ascii="Garamond" w:hAnsi="Garamond" w:cs="Arial"/>
          <w:i/>
          <w:sz w:val="21"/>
          <w:szCs w:val="21"/>
        </w:rPr>
        <w:t>Week 1</w:t>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Course policies / Introduction</w:t>
      </w:r>
      <w:r w:rsidR="002E6376" w:rsidRPr="001F2D53">
        <w:rPr>
          <w:rFonts w:ascii="Garamond" w:hAnsi="Garamond" w:cs="Arial"/>
          <w:sz w:val="24"/>
          <w:szCs w:val="24"/>
        </w:rPr>
        <w:t xml:space="preserve"> to Legal History</w:t>
      </w:r>
    </w:p>
    <w:p w:rsidR="002E6376" w:rsidRPr="001F2D53" w:rsidRDefault="00A52F77" w:rsidP="002E6376">
      <w:pPr>
        <w:contextualSpacing/>
        <w:rPr>
          <w:rFonts w:ascii="Garamond" w:hAnsi="Garamond"/>
        </w:rPr>
      </w:pPr>
      <w:r w:rsidRPr="001F2D53">
        <w:rPr>
          <w:rFonts w:ascii="Garamond" w:hAnsi="Garamond" w:cs="Arial"/>
          <w:sz w:val="24"/>
          <w:szCs w:val="24"/>
        </w:rPr>
        <w:t xml:space="preserve">Reading: </w:t>
      </w:r>
      <w:r w:rsidR="002E6376" w:rsidRPr="001F2D53">
        <w:rPr>
          <w:rFonts w:ascii="Garamond" w:hAnsi="Garamond"/>
        </w:rPr>
        <w:t xml:space="preserve">Natural Law,” Oliver Wendell Holmes, Jr.  Available here: </w:t>
      </w:r>
      <w:hyperlink r:id="rId7" w:history="1">
        <w:r w:rsidR="002E6376" w:rsidRPr="001F2D53">
          <w:rPr>
            <w:rStyle w:val="Hyperlink"/>
            <w:rFonts w:ascii="Garamond" w:hAnsi="Garamond"/>
          </w:rPr>
          <w:t>http://teachingamericanhistory.org/library/index.asp?document=1438</w:t>
        </w:r>
      </w:hyperlink>
      <w:r w:rsidR="002E6376" w:rsidRPr="001F2D53">
        <w:rPr>
          <w:rFonts w:ascii="Garamond" w:hAnsi="Garamond"/>
        </w:rPr>
        <w:t xml:space="preserve"> (Recommended)</w:t>
      </w:r>
    </w:p>
    <w:p w:rsidR="002E6376" w:rsidRPr="001F2D53" w:rsidRDefault="002E6376" w:rsidP="002E6376">
      <w:pPr>
        <w:contextualSpacing/>
        <w:rPr>
          <w:rFonts w:ascii="Garamond" w:hAnsi="Garamond"/>
        </w:rPr>
      </w:pPr>
      <w:r w:rsidRPr="001F2D53">
        <w:rPr>
          <w:rFonts w:ascii="Garamond" w:hAnsi="Garamond"/>
        </w:rPr>
        <w:t xml:space="preserve">Joseph Hutcheson, “The Judgement Intuitive:  The Function of the ‘Hunch’ in Judicial Decision”.  Available here: </w:t>
      </w:r>
      <w:hyperlink r:id="rId8" w:history="1">
        <w:r w:rsidRPr="001F2D53">
          <w:rPr>
            <w:rStyle w:val="Hyperlink"/>
            <w:rFonts w:ascii="Garamond" w:hAnsi="Garamond"/>
          </w:rPr>
          <w:t>http://alh.houseofrussell.com/docs/hutcheson.html</w:t>
        </w:r>
      </w:hyperlink>
      <w:r w:rsidRPr="001F2D53">
        <w:rPr>
          <w:rFonts w:ascii="Garamond" w:hAnsi="Garamond"/>
        </w:rPr>
        <w:t xml:space="preserve"> (Recommended)</w:t>
      </w:r>
    </w:p>
    <w:p w:rsidR="00A52F77" w:rsidRPr="001F2D53" w:rsidRDefault="00A52F77" w:rsidP="00A52F77">
      <w:pPr>
        <w:rPr>
          <w:rFonts w:ascii="Garamond" w:hAnsi="Garamond" w:cs="Arial"/>
          <w:sz w:val="24"/>
          <w:szCs w:val="24"/>
        </w:rPr>
      </w:pPr>
    </w:p>
    <w:p w:rsidR="00A52F77" w:rsidRPr="00177C13" w:rsidRDefault="00177C13" w:rsidP="00A52F77">
      <w:pPr>
        <w:rPr>
          <w:rFonts w:ascii="Garamond" w:hAnsi="Garamond" w:cs="Arial"/>
          <w:i/>
          <w:sz w:val="24"/>
          <w:szCs w:val="24"/>
        </w:rPr>
      </w:pPr>
      <w:r w:rsidRPr="00177C13">
        <w:rPr>
          <w:rFonts w:ascii="Garamond" w:hAnsi="Garamond" w:cs="Arial"/>
          <w:i/>
          <w:sz w:val="24"/>
          <w:szCs w:val="24"/>
        </w:rPr>
        <w:t>Week 2</w:t>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The Legal Profession</w:t>
      </w:r>
    </w:p>
    <w:p w:rsidR="00A52F77" w:rsidRPr="001F2D53" w:rsidRDefault="00A52F77" w:rsidP="00A52F77">
      <w:pPr>
        <w:rPr>
          <w:rFonts w:ascii="Garamond" w:hAnsi="Garamond" w:cs="Arial"/>
          <w:sz w:val="24"/>
          <w:szCs w:val="24"/>
        </w:rPr>
      </w:pPr>
      <w:r w:rsidRPr="001F2D53">
        <w:rPr>
          <w:rFonts w:ascii="Garamond" w:hAnsi="Garamond" w:cs="Arial"/>
          <w:sz w:val="24"/>
          <w:szCs w:val="24"/>
        </w:rPr>
        <w:t>Reading: Friedman, pp. 29-44</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August 28, 2014</w:t>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Legal Profession: Continued</w:t>
      </w:r>
    </w:p>
    <w:p w:rsidR="00A52F77" w:rsidRPr="001F2D53" w:rsidRDefault="00A52F77" w:rsidP="00A52F77">
      <w:pPr>
        <w:rPr>
          <w:rFonts w:ascii="Garamond" w:hAnsi="Garamond" w:cs="Arial"/>
          <w:sz w:val="24"/>
          <w:szCs w:val="24"/>
        </w:rPr>
      </w:pPr>
      <w:r w:rsidRPr="001F2D53">
        <w:rPr>
          <w:rFonts w:ascii="Garamond" w:hAnsi="Garamond" w:cs="Arial"/>
          <w:sz w:val="24"/>
          <w:szCs w:val="24"/>
        </w:rPr>
        <w:t>Reading: Friedman, pp. 457-504</w:t>
      </w:r>
    </w:p>
    <w:p w:rsidR="00A52F77" w:rsidRPr="001F2D53" w:rsidRDefault="00A52F77" w:rsidP="00A52F77">
      <w:pPr>
        <w:rPr>
          <w:rFonts w:ascii="Garamond" w:hAnsi="Garamond" w:cs="Arial"/>
          <w:sz w:val="24"/>
          <w:szCs w:val="24"/>
        </w:rPr>
      </w:pPr>
    </w:p>
    <w:p w:rsidR="002E6376" w:rsidRPr="001F2D53" w:rsidRDefault="002E6376" w:rsidP="00A52F77">
      <w:pPr>
        <w:rPr>
          <w:rFonts w:ascii="Garamond" w:hAnsi="Garamond" w:cs="Arial"/>
          <w:sz w:val="24"/>
          <w:szCs w:val="24"/>
        </w:rPr>
      </w:pPr>
    </w:p>
    <w:p w:rsidR="00A52F77" w:rsidRPr="00177C13" w:rsidRDefault="00177C13" w:rsidP="00A52F77">
      <w:pPr>
        <w:rPr>
          <w:rFonts w:ascii="Garamond" w:hAnsi="Garamond" w:cs="Arial"/>
          <w:i/>
          <w:sz w:val="24"/>
          <w:szCs w:val="24"/>
        </w:rPr>
      </w:pPr>
      <w:r w:rsidRPr="00177C13">
        <w:rPr>
          <w:rFonts w:ascii="Garamond" w:hAnsi="Garamond" w:cs="Arial"/>
          <w:i/>
          <w:sz w:val="24"/>
          <w:szCs w:val="24"/>
        </w:rPr>
        <w:t>Week 3</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Civil Rights and Racial Justice </w:t>
      </w:r>
    </w:p>
    <w:p w:rsidR="004D0C93" w:rsidRPr="001F2D53" w:rsidRDefault="00A52F77" w:rsidP="00A52F77">
      <w:pPr>
        <w:rPr>
          <w:rFonts w:ascii="Garamond" w:hAnsi="Garamond" w:cs="Arial"/>
          <w:sz w:val="24"/>
          <w:szCs w:val="24"/>
        </w:rPr>
      </w:pPr>
      <w:r w:rsidRPr="001F2D53">
        <w:rPr>
          <w:rFonts w:ascii="Garamond" w:hAnsi="Garamond" w:cs="Arial"/>
          <w:sz w:val="24"/>
          <w:szCs w:val="24"/>
        </w:rPr>
        <w:t>Reading: Hall, pp. 453</w:t>
      </w:r>
      <w:r w:rsidR="002E6376" w:rsidRPr="001F2D53">
        <w:rPr>
          <w:rFonts w:ascii="Garamond" w:hAnsi="Garamond" w:cs="Arial"/>
          <w:sz w:val="24"/>
          <w:szCs w:val="24"/>
        </w:rPr>
        <w:t>-461, 499-506</w:t>
      </w:r>
    </w:p>
    <w:p w:rsidR="00A52F77" w:rsidRPr="001F2D53" w:rsidRDefault="004D0C93" w:rsidP="00A52F77">
      <w:pPr>
        <w:rPr>
          <w:rFonts w:ascii="Garamond" w:hAnsi="Garamond" w:cs="Arial"/>
          <w:sz w:val="24"/>
          <w:szCs w:val="24"/>
        </w:rPr>
      </w:pPr>
      <w:r w:rsidRPr="001F2D53">
        <w:rPr>
          <w:rFonts w:ascii="Garamond" w:hAnsi="Garamond" w:cs="Arial"/>
          <w:sz w:val="24"/>
          <w:szCs w:val="24"/>
        </w:rPr>
        <w:t xml:space="preserve">Derrick Bell, “Brown v. Board of Education and the Interest-Convergence Dilemma,” available at </w:t>
      </w:r>
      <w:hyperlink r:id="rId9" w:history="1">
        <w:r w:rsidRPr="001F2D53">
          <w:rPr>
            <w:rStyle w:val="Hyperlink"/>
            <w:rFonts w:ascii="Garamond" w:hAnsi="Garamond" w:cs="Arial"/>
            <w:sz w:val="24"/>
            <w:szCs w:val="24"/>
          </w:rPr>
          <w:t>http://pscfiles.tamu.edu/links/div-com/bell-interest%20convergence.pdf</w:t>
        </w:r>
      </w:hyperlink>
      <w:r w:rsidRPr="001F2D53">
        <w:rPr>
          <w:rFonts w:ascii="Garamond" w:hAnsi="Garamond" w:cs="Arial"/>
          <w:sz w:val="24"/>
          <w:szCs w:val="24"/>
        </w:rPr>
        <w:t xml:space="preserve"> (also available in “Course Documents”)</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2E6376" w:rsidRPr="001F2D53">
        <w:rPr>
          <w:rFonts w:ascii="Garamond" w:hAnsi="Garamond" w:cs="Arial"/>
          <w:sz w:val="24"/>
          <w:szCs w:val="24"/>
        </w:rPr>
        <w:t>Civil Rights and Racial Justice: Continued</w:t>
      </w:r>
    </w:p>
    <w:p w:rsidR="002E6376"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2E6376" w:rsidRPr="001F2D53">
        <w:rPr>
          <w:rFonts w:ascii="Garamond" w:hAnsi="Garamond" w:cs="Arial"/>
          <w:sz w:val="24"/>
          <w:szCs w:val="24"/>
        </w:rPr>
        <w:t xml:space="preserve">Irons, pp. 365-409 </w:t>
      </w:r>
    </w:p>
    <w:p w:rsidR="00A52F77" w:rsidRPr="001F2D53" w:rsidRDefault="002E6376" w:rsidP="00A52F77">
      <w:pPr>
        <w:rPr>
          <w:rFonts w:ascii="Garamond" w:hAnsi="Garamond" w:cs="Arial"/>
          <w:sz w:val="24"/>
          <w:szCs w:val="24"/>
        </w:rPr>
      </w:pPr>
      <w:r w:rsidRPr="001F2D53">
        <w:rPr>
          <w:rFonts w:ascii="Garamond" w:hAnsi="Garamond" w:cs="Arial"/>
          <w:sz w:val="24"/>
          <w:szCs w:val="24"/>
        </w:rPr>
        <w:t xml:space="preserve">Case brief #1 (possible due date):  Missouri ex rel. Gaines v. Canada, available at </w:t>
      </w:r>
      <w:hyperlink r:id="rId10" w:history="1">
        <w:r w:rsidRPr="001F2D53">
          <w:rPr>
            <w:rStyle w:val="Hyperlink"/>
            <w:rFonts w:ascii="Garamond" w:hAnsi="Garamond" w:cs="Arial"/>
            <w:sz w:val="24"/>
            <w:szCs w:val="24"/>
          </w:rPr>
          <w:t>http://www.law.cornell.edu/supremecourt/text/305/337</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06011B" w:rsidRDefault="0006011B" w:rsidP="00A52F77">
      <w:pPr>
        <w:rPr>
          <w:rFonts w:ascii="Garamond" w:hAnsi="Garamond" w:cs="Arial"/>
          <w:i/>
          <w:sz w:val="24"/>
          <w:szCs w:val="24"/>
        </w:rPr>
      </w:pPr>
      <w:r>
        <w:rPr>
          <w:rFonts w:ascii="Garamond" w:hAnsi="Garamond" w:cs="Arial"/>
          <w:i/>
          <w:sz w:val="24"/>
          <w:szCs w:val="24"/>
        </w:rPr>
        <w:t>Week 4</w:t>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Taxation and the Growth of the American Bureaucracy</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Readings: Pollock v. Farmers Loan and Trust Co. (1895) available at </w:t>
      </w:r>
      <w:hyperlink r:id="rId11" w:history="1">
        <w:r w:rsidRPr="001F2D53">
          <w:rPr>
            <w:rStyle w:val="Hyperlink"/>
            <w:rFonts w:ascii="Garamond" w:hAnsi="Garamond" w:cs="Arial"/>
            <w:sz w:val="24"/>
            <w:szCs w:val="24"/>
          </w:rPr>
          <w:t>http://www.law.cornell.edu/supremecourt/text/157/429</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r w:rsidRPr="001F2D53">
        <w:rPr>
          <w:rFonts w:ascii="Garamond" w:hAnsi="Garamond" w:cs="Arial"/>
          <w:sz w:val="24"/>
          <w:szCs w:val="24"/>
        </w:rPr>
        <w:t>Amendment XVI</w:t>
      </w:r>
      <w:r w:rsidR="002E6376" w:rsidRPr="001F2D53">
        <w:rPr>
          <w:rFonts w:ascii="Garamond" w:hAnsi="Garamond" w:cs="Arial"/>
          <w:sz w:val="24"/>
          <w:szCs w:val="24"/>
        </w:rPr>
        <w:t>,</w:t>
      </w:r>
      <w:r w:rsidRPr="001F2D53">
        <w:rPr>
          <w:rFonts w:ascii="Garamond" w:hAnsi="Garamond" w:cs="Arial"/>
          <w:sz w:val="24"/>
          <w:szCs w:val="24"/>
        </w:rPr>
        <w:t xml:space="preserve"> available at </w:t>
      </w:r>
      <w:hyperlink r:id="rId12" w:history="1">
        <w:r w:rsidRPr="001F2D53">
          <w:rPr>
            <w:rStyle w:val="Hyperlink"/>
            <w:rFonts w:ascii="Garamond" w:hAnsi="Garamond" w:cs="Arial"/>
            <w:sz w:val="24"/>
            <w:szCs w:val="24"/>
          </w:rPr>
          <w:t>http://www.law.cornell.edu/constitution/amendmentxvi</w:t>
        </w:r>
      </w:hyperlink>
    </w:p>
    <w:p w:rsidR="00A52F77" w:rsidRPr="001F2D53" w:rsidRDefault="00A52F77" w:rsidP="00A52F77">
      <w:pPr>
        <w:rPr>
          <w:rFonts w:ascii="Garamond" w:hAnsi="Garamond" w:cs="Arial"/>
          <w:sz w:val="24"/>
          <w:szCs w:val="24"/>
        </w:rPr>
      </w:pPr>
      <w:r w:rsidRPr="001F2D53">
        <w:rPr>
          <w:rFonts w:ascii="Garamond" w:hAnsi="Garamond" w:cs="Arial"/>
          <w:sz w:val="24"/>
          <w:szCs w:val="24"/>
        </w:rPr>
        <w:t>Tax Rates Adjusted for Inflation</w:t>
      </w:r>
      <w:r w:rsidR="002E6376" w:rsidRPr="001F2D53">
        <w:rPr>
          <w:rFonts w:ascii="Garamond" w:hAnsi="Garamond" w:cs="Arial"/>
          <w:sz w:val="24"/>
          <w:szCs w:val="24"/>
        </w:rPr>
        <w:t>,</w:t>
      </w:r>
      <w:r w:rsidRPr="001F2D53">
        <w:rPr>
          <w:rFonts w:ascii="Garamond" w:hAnsi="Garamond" w:cs="Arial"/>
          <w:sz w:val="24"/>
          <w:szCs w:val="24"/>
        </w:rPr>
        <w:t xml:space="preserve"> available at </w:t>
      </w:r>
      <w:hyperlink r:id="rId13" w:history="1">
        <w:r w:rsidRPr="001F2D53">
          <w:rPr>
            <w:rStyle w:val="Hyperlink"/>
            <w:rFonts w:ascii="Garamond" w:hAnsi="Garamond" w:cs="Arial"/>
            <w:sz w:val="24"/>
            <w:szCs w:val="24"/>
          </w:rPr>
          <w:t>http://taxfoundation.org/sites/taxfoundation.org/files/docs/fed_individual_rate_history_adjusted.pdf</w:t>
        </w:r>
      </w:hyperlink>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2E6376" w:rsidRPr="001F2D53">
        <w:rPr>
          <w:rFonts w:ascii="Garamond" w:hAnsi="Garamond" w:cs="Arial"/>
          <w:sz w:val="24"/>
          <w:szCs w:val="24"/>
        </w:rPr>
        <w:t>Family Law and Family Life</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2E6376" w:rsidRPr="001F2D53">
        <w:rPr>
          <w:rFonts w:ascii="Garamond" w:hAnsi="Garamond" w:cs="Arial"/>
          <w:sz w:val="24"/>
          <w:szCs w:val="24"/>
        </w:rPr>
        <w:t>Friedman, pp. 430-457</w:t>
      </w:r>
    </w:p>
    <w:p w:rsidR="002E6376" w:rsidRPr="001F2D53" w:rsidRDefault="002E6376" w:rsidP="00A52F77">
      <w:pPr>
        <w:rPr>
          <w:rFonts w:ascii="Garamond" w:hAnsi="Garamond" w:cs="Arial"/>
          <w:sz w:val="24"/>
          <w:szCs w:val="24"/>
        </w:rPr>
      </w:pPr>
      <w:r w:rsidRPr="001F2D53">
        <w:rPr>
          <w:rFonts w:ascii="Garamond" w:hAnsi="Garamond" w:cs="Arial"/>
          <w:sz w:val="24"/>
          <w:szCs w:val="24"/>
        </w:rPr>
        <w:t xml:space="preserve">Note: “USA PATRIOT Act </w:t>
      </w:r>
      <w:r w:rsidR="00A52F77" w:rsidRPr="001F2D53">
        <w:rPr>
          <w:rFonts w:ascii="Garamond" w:hAnsi="Garamond" w:cs="Arial"/>
          <w:sz w:val="24"/>
          <w:szCs w:val="24"/>
        </w:rPr>
        <w:t>in Retrospect” lecture will be given later this semester</w:t>
      </w:r>
    </w:p>
    <w:p w:rsidR="00A52F77" w:rsidRPr="001F2D53" w:rsidRDefault="002E6376" w:rsidP="00A52F77">
      <w:pPr>
        <w:rPr>
          <w:rFonts w:ascii="Garamond" w:hAnsi="Garamond" w:cs="Arial"/>
          <w:sz w:val="24"/>
          <w:szCs w:val="24"/>
        </w:rPr>
      </w:pPr>
      <w:r w:rsidRPr="001F2D53">
        <w:rPr>
          <w:rFonts w:ascii="Garamond" w:hAnsi="Garamond" w:cs="Arial"/>
          <w:sz w:val="24"/>
          <w:szCs w:val="24"/>
        </w:rPr>
        <w:t xml:space="preserve">Case brief #2 (possible due date): Troxel v. Granville, available at </w:t>
      </w:r>
      <w:hyperlink r:id="rId14" w:history="1">
        <w:r w:rsidRPr="001F2D53">
          <w:rPr>
            <w:rStyle w:val="Hyperlink"/>
            <w:rFonts w:ascii="Garamond" w:hAnsi="Garamond" w:cs="Arial"/>
            <w:sz w:val="24"/>
            <w:szCs w:val="24"/>
          </w:rPr>
          <w:t>http://www.law.cornell.edu/supct/html/99-138.ZO.html</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06011B" w:rsidRDefault="0006011B" w:rsidP="00A52F77">
      <w:pPr>
        <w:rPr>
          <w:rFonts w:ascii="Garamond" w:hAnsi="Garamond" w:cs="Arial"/>
          <w:i/>
          <w:sz w:val="24"/>
          <w:szCs w:val="24"/>
        </w:rPr>
      </w:pPr>
      <w:r>
        <w:rPr>
          <w:rFonts w:ascii="Garamond" w:hAnsi="Garamond" w:cs="Arial"/>
          <w:i/>
          <w:sz w:val="24"/>
          <w:szCs w:val="24"/>
        </w:rPr>
        <w:t>Week 5</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2E6376" w:rsidRPr="001F2D53">
        <w:rPr>
          <w:rFonts w:ascii="Garamond" w:hAnsi="Garamond" w:cs="Arial"/>
          <w:sz w:val="24"/>
          <w:szCs w:val="24"/>
        </w:rPr>
        <w:t>The Switch in Time that Saved Nine</w:t>
      </w:r>
    </w:p>
    <w:p w:rsidR="002E6376"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2E6376" w:rsidRPr="001F2D53">
        <w:rPr>
          <w:rFonts w:ascii="Garamond" w:hAnsi="Garamond" w:cs="Arial"/>
          <w:sz w:val="24"/>
          <w:szCs w:val="24"/>
        </w:rPr>
        <w:t>Irons, pp. 294-331</w:t>
      </w:r>
    </w:p>
    <w:p w:rsidR="00A52F77" w:rsidRPr="001F2D53" w:rsidRDefault="002E6376" w:rsidP="00A52F77">
      <w:pPr>
        <w:rPr>
          <w:rFonts w:ascii="Garamond" w:hAnsi="Garamond" w:cs="Arial"/>
          <w:sz w:val="24"/>
          <w:szCs w:val="24"/>
        </w:rPr>
      </w:pPr>
      <w:r w:rsidRPr="001F2D53">
        <w:rPr>
          <w:rFonts w:ascii="Garamond" w:hAnsi="Garamond" w:cs="Arial"/>
          <w:sz w:val="24"/>
          <w:szCs w:val="24"/>
        </w:rPr>
        <w:t xml:space="preserve">Case brief #3 (possible due date): United States v. Carolene Products, available at </w:t>
      </w:r>
      <w:hyperlink r:id="rId15" w:history="1">
        <w:r w:rsidRPr="001F2D53">
          <w:rPr>
            <w:rStyle w:val="Hyperlink"/>
            <w:rFonts w:ascii="Garamond" w:hAnsi="Garamond" w:cs="Arial"/>
            <w:sz w:val="24"/>
            <w:szCs w:val="24"/>
          </w:rPr>
          <w:t>http://www.law.cornell.edu/supremecourt/text/304/144</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2E6376" w:rsidRPr="001F2D53">
        <w:rPr>
          <w:rFonts w:ascii="Garamond" w:hAnsi="Garamond" w:cs="Arial"/>
          <w:sz w:val="24"/>
          <w:szCs w:val="24"/>
        </w:rPr>
        <w:t xml:space="preserve">Crime and Criminal Justice </w:t>
      </w:r>
    </w:p>
    <w:p w:rsidR="002E6376" w:rsidRPr="001F2D53" w:rsidRDefault="00A52F77" w:rsidP="002E6376">
      <w:pPr>
        <w:rPr>
          <w:rFonts w:ascii="Garamond" w:hAnsi="Garamond" w:cs="Arial"/>
          <w:sz w:val="24"/>
          <w:szCs w:val="24"/>
        </w:rPr>
      </w:pPr>
      <w:r w:rsidRPr="001F2D53">
        <w:rPr>
          <w:rFonts w:ascii="Garamond" w:hAnsi="Garamond" w:cs="Arial"/>
          <w:sz w:val="24"/>
          <w:szCs w:val="24"/>
        </w:rPr>
        <w:t xml:space="preserve">Readings: </w:t>
      </w:r>
      <w:r w:rsidR="002E6376" w:rsidRPr="001F2D53">
        <w:rPr>
          <w:rFonts w:ascii="Garamond" w:hAnsi="Garamond" w:cs="Arial"/>
          <w:sz w:val="24"/>
          <w:szCs w:val="24"/>
        </w:rPr>
        <w:t>Friedman, pp. 80-111</w:t>
      </w:r>
    </w:p>
    <w:p w:rsidR="002E6376" w:rsidRPr="001F2D53" w:rsidRDefault="002E6376" w:rsidP="002E6376">
      <w:pPr>
        <w:rPr>
          <w:rFonts w:ascii="Garamond" w:hAnsi="Garamond" w:cs="Arial"/>
          <w:sz w:val="24"/>
          <w:szCs w:val="24"/>
        </w:rPr>
      </w:pPr>
      <w:r w:rsidRPr="001F2D53">
        <w:rPr>
          <w:rFonts w:ascii="Garamond" w:hAnsi="Garamond" w:cs="Arial"/>
          <w:sz w:val="24"/>
          <w:szCs w:val="24"/>
        </w:rPr>
        <w:t xml:space="preserve">Case brief #4:  Miranda v. Arizona, available at </w:t>
      </w:r>
      <w:hyperlink r:id="rId16" w:history="1">
        <w:r w:rsidRPr="001F2D53">
          <w:rPr>
            <w:rStyle w:val="Hyperlink"/>
            <w:rFonts w:ascii="Garamond" w:hAnsi="Garamond" w:cs="Arial"/>
            <w:sz w:val="24"/>
            <w:szCs w:val="24"/>
          </w:rPr>
          <w:t>http://www.law.cornell.edu/supremecourt/text/384/436</w:t>
        </w:r>
      </w:hyperlink>
      <w:r w:rsidRPr="001F2D53">
        <w:rPr>
          <w:rFonts w:ascii="Garamond" w:hAnsi="Garamond" w:cs="Arial"/>
          <w:sz w:val="24"/>
          <w:szCs w:val="24"/>
        </w:rPr>
        <w:t xml:space="preserve"> </w:t>
      </w:r>
    </w:p>
    <w:p w:rsidR="0006011B" w:rsidRDefault="0006011B" w:rsidP="00A52F77">
      <w:pPr>
        <w:rPr>
          <w:rFonts w:ascii="Garamond" w:hAnsi="Garamond" w:cs="Arial"/>
          <w:b/>
          <w:sz w:val="24"/>
          <w:szCs w:val="24"/>
        </w:rPr>
      </w:pPr>
    </w:p>
    <w:p w:rsidR="00A52F77" w:rsidRPr="001F2D53" w:rsidRDefault="00A52F77" w:rsidP="00A52F77">
      <w:pPr>
        <w:rPr>
          <w:rFonts w:ascii="Garamond" w:hAnsi="Garamond" w:cs="Arial"/>
          <w:b/>
          <w:sz w:val="24"/>
          <w:szCs w:val="24"/>
        </w:rPr>
      </w:pPr>
      <w:r w:rsidRPr="001F2D53">
        <w:rPr>
          <w:rFonts w:ascii="Garamond" w:hAnsi="Garamond" w:cs="Arial"/>
          <w:b/>
          <w:sz w:val="24"/>
          <w:szCs w:val="24"/>
        </w:rPr>
        <w:t>FIRST EXAM</w:t>
      </w:r>
      <w:r w:rsidR="0006011B">
        <w:rPr>
          <w:rFonts w:ascii="Garamond" w:hAnsi="Garamond" w:cs="Arial"/>
          <w:b/>
          <w:sz w:val="24"/>
          <w:szCs w:val="24"/>
        </w:rPr>
        <w:t xml:space="preserve"> – STUDY GUIDE DISTRIBUTED AT THE BEGINNING OF WEEK 5</w:t>
      </w:r>
    </w:p>
    <w:p w:rsidR="00A52F77" w:rsidRPr="001F2D53" w:rsidRDefault="00A52F77" w:rsidP="00A52F77">
      <w:pPr>
        <w:rPr>
          <w:rFonts w:ascii="Garamond" w:hAnsi="Garamond" w:cs="Arial"/>
          <w:sz w:val="24"/>
          <w:szCs w:val="24"/>
        </w:rPr>
      </w:pPr>
    </w:p>
    <w:p w:rsidR="00A52F77" w:rsidRPr="0006011B" w:rsidRDefault="0006011B" w:rsidP="00A52F77">
      <w:pPr>
        <w:rPr>
          <w:rFonts w:ascii="Garamond" w:hAnsi="Garamond" w:cs="Arial"/>
          <w:i/>
          <w:sz w:val="24"/>
          <w:szCs w:val="24"/>
        </w:rPr>
      </w:pPr>
      <w:r>
        <w:rPr>
          <w:rFonts w:ascii="Garamond" w:hAnsi="Garamond" w:cs="Arial"/>
          <w:i/>
          <w:sz w:val="24"/>
          <w:szCs w:val="24"/>
        </w:rPr>
        <w:t>Week 6</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2E6376" w:rsidRPr="001F2D53">
        <w:rPr>
          <w:rFonts w:ascii="Garamond" w:hAnsi="Garamond" w:cs="Arial"/>
          <w:sz w:val="24"/>
          <w:szCs w:val="24"/>
        </w:rPr>
        <w:t>Disability and Citizenship</w:t>
      </w:r>
    </w:p>
    <w:p w:rsidR="002E6376" w:rsidRPr="001F2D53" w:rsidRDefault="00A52F77" w:rsidP="00A52F77">
      <w:pPr>
        <w:rPr>
          <w:rFonts w:ascii="Garamond" w:hAnsi="Garamond" w:cs="Arial"/>
          <w:sz w:val="24"/>
          <w:szCs w:val="24"/>
        </w:rPr>
      </w:pPr>
      <w:r w:rsidRPr="001F2D53">
        <w:rPr>
          <w:rFonts w:ascii="Garamond" w:hAnsi="Garamond" w:cs="Arial"/>
          <w:sz w:val="24"/>
          <w:szCs w:val="24"/>
        </w:rPr>
        <w:t xml:space="preserve">Readings: </w:t>
      </w:r>
      <w:r w:rsidR="002E6376" w:rsidRPr="001F2D53">
        <w:rPr>
          <w:rFonts w:ascii="Garamond" w:hAnsi="Garamond" w:cs="Arial"/>
          <w:sz w:val="24"/>
          <w:szCs w:val="24"/>
        </w:rPr>
        <w:t xml:space="preserve">Buck v. Bell, available at </w:t>
      </w:r>
      <w:hyperlink r:id="rId17" w:history="1">
        <w:r w:rsidR="002E6376" w:rsidRPr="001F2D53">
          <w:rPr>
            <w:rStyle w:val="Hyperlink"/>
            <w:rFonts w:ascii="Garamond" w:hAnsi="Garamond" w:cs="Arial"/>
            <w:sz w:val="24"/>
            <w:szCs w:val="24"/>
          </w:rPr>
          <w:t>http://www.law.cornell.edu/supremecourt/text/274/200</w:t>
        </w:r>
      </w:hyperlink>
      <w:r w:rsidR="002E6376" w:rsidRPr="001F2D53">
        <w:rPr>
          <w:rFonts w:ascii="Garamond" w:hAnsi="Garamond" w:cs="Arial"/>
          <w:sz w:val="24"/>
          <w:szCs w:val="24"/>
        </w:rPr>
        <w:t xml:space="preserve"> </w:t>
      </w:r>
    </w:p>
    <w:p w:rsidR="00AF7202" w:rsidRPr="001F2D53" w:rsidRDefault="00AF7202" w:rsidP="00AF7202">
      <w:pPr>
        <w:rPr>
          <w:rFonts w:ascii="Garamond" w:hAnsi="Garamond" w:cs="Arial"/>
          <w:sz w:val="24"/>
          <w:szCs w:val="24"/>
        </w:rPr>
      </w:pPr>
      <w:r w:rsidRPr="001F2D53">
        <w:rPr>
          <w:rFonts w:ascii="Garamond" w:hAnsi="Garamond" w:cs="Arial"/>
          <w:sz w:val="24"/>
          <w:szCs w:val="24"/>
        </w:rPr>
        <w:t>Douglas Baynton, “Defectives in the Land” (available in “Course Documents” on Blackboard)</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855D40" w:rsidRPr="001F2D53">
        <w:rPr>
          <w:rFonts w:ascii="Garamond" w:hAnsi="Garamond" w:cs="Arial"/>
          <w:sz w:val="24"/>
          <w:szCs w:val="24"/>
        </w:rPr>
        <w:t>Crime and Criminal Justice: Continued</w:t>
      </w:r>
    </w:p>
    <w:p w:rsidR="00AF7202" w:rsidRPr="001F2D53" w:rsidRDefault="00A52F77" w:rsidP="00AF7202">
      <w:pPr>
        <w:rPr>
          <w:rFonts w:ascii="Garamond" w:hAnsi="Garamond" w:cs="Arial"/>
          <w:sz w:val="24"/>
          <w:szCs w:val="24"/>
        </w:rPr>
      </w:pPr>
      <w:r w:rsidRPr="001F2D53">
        <w:rPr>
          <w:rFonts w:ascii="Garamond" w:hAnsi="Garamond" w:cs="Arial"/>
          <w:sz w:val="24"/>
          <w:szCs w:val="24"/>
        </w:rPr>
        <w:t xml:space="preserve">Reading: </w:t>
      </w:r>
      <w:r w:rsidR="00855D40" w:rsidRPr="001F2D53">
        <w:rPr>
          <w:rFonts w:ascii="Garamond" w:hAnsi="Garamond" w:cs="Arial"/>
          <w:sz w:val="24"/>
          <w:szCs w:val="24"/>
        </w:rPr>
        <w:t>Friedman, pp. 205-251</w:t>
      </w:r>
    </w:p>
    <w:p w:rsidR="00AF7202" w:rsidRPr="001F2D53" w:rsidRDefault="00AF7202" w:rsidP="00AF7202">
      <w:pPr>
        <w:rPr>
          <w:rFonts w:ascii="Garamond" w:hAnsi="Garamond" w:cs="Arial"/>
          <w:sz w:val="24"/>
          <w:szCs w:val="24"/>
        </w:rPr>
      </w:pPr>
      <w:r w:rsidRPr="001F2D53">
        <w:rPr>
          <w:rFonts w:ascii="Garamond" w:hAnsi="Garamond" w:cs="Arial"/>
          <w:sz w:val="24"/>
          <w:szCs w:val="24"/>
        </w:rPr>
        <w:t xml:space="preserve">Christopher Glazek, “Raise the Crime Rate,” available at </w:t>
      </w:r>
      <w:hyperlink r:id="rId18" w:history="1">
        <w:r w:rsidRPr="001F2D53">
          <w:rPr>
            <w:rStyle w:val="Hyperlink"/>
            <w:rFonts w:ascii="Garamond" w:hAnsi="Garamond" w:cs="Arial"/>
            <w:sz w:val="24"/>
            <w:szCs w:val="24"/>
          </w:rPr>
          <w:t>https://nplusonemag.com/issue-13/politics/raise-the-crime-rate/</w:t>
        </w:r>
      </w:hyperlink>
      <w:r w:rsidRPr="001F2D53">
        <w:rPr>
          <w:rFonts w:ascii="Garamond" w:hAnsi="Garamond" w:cs="Arial"/>
          <w:sz w:val="24"/>
          <w:szCs w:val="24"/>
        </w:rPr>
        <w:t xml:space="preserve"> </w:t>
      </w:r>
    </w:p>
    <w:p w:rsidR="00A52F77" w:rsidRPr="001F2D53" w:rsidRDefault="00A52F77" w:rsidP="00AF7202">
      <w:pPr>
        <w:rPr>
          <w:rFonts w:ascii="Garamond" w:hAnsi="Garamond" w:cs="Arial"/>
          <w:sz w:val="24"/>
          <w:szCs w:val="24"/>
        </w:rPr>
      </w:pPr>
    </w:p>
    <w:p w:rsidR="00A52F77" w:rsidRPr="0006011B" w:rsidRDefault="00B04BA4" w:rsidP="00A52F77">
      <w:pPr>
        <w:rPr>
          <w:rFonts w:ascii="Garamond" w:hAnsi="Garamond" w:cs="Arial"/>
          <w:i/>
          <w:sz w:val="24"/>
          <w:szCs w:val="24"/>
        </w:rPr>
      </w:pPr>
      <w:r>
        <w:rPr>
          <w:rFonts w:ascii="Garamond" w:hAnsi="Garamond" w:cs="Arial"/>
          <w:i/>
          <w:sz w:val="24"/>
          <w:szCs w:val="24"/>
        </w:rPr>
        <w:t>Week 7</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855D40" w:rsidRPr="001F2D53">
        <w:rPr>
          <w:rFonts w:ascii="Garamond" w:hAnsi="Garamond" w:cs="Arial"/>
          <w:sz w:val="24"/>
          <w:szCs w:val="24"/>
        </w:rPr>
        <w:t>Science, Law, and the Body</w:t>
      </w:r>
    </w:p>
    <w:p w:rsidR="00855D40"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855D40" w:rsidRPr="001F2D53">
        <w:rPr>
          <w:rFonts w:ascii="Garamond" w:hAnsi="Garamond" w:cs="Arial"/>
          <w:sz w:val="24"/>
          <w:szCs w:val="24"/>
        </w:rPr>
        <w:t>Hall, pp. 559-571</w:t>
      </w:r>
    </w:p>
    <w:p w:rsidR="00A52F77" w:rsidRPr="001F2D53" w:rsidRDefault="00855D40" w:rsidP="00A52F77">
      <w:pPr>
        <w:rPr>
          <w:rFonts w:ascii="Garamond" w:hAnsi="Garamond" w:cs="Arial"/>
          <w:sz w:val="24"/>
          <w:szCs w:val="24"/>
        </w:rPr>
      </w:pPr>
      <w:r w:rsidRPr="001F2D53">
        <w:rPr>
          <w:rFonts w:ascii="Garamond" w:hAnsi="Garamond" w:cs="Arial"/>
          <w:sz w:val="24"/>
          <w:szCs w:val="24"/>
        </w:rPr>
        <w:t xml:space="preserve">Case brief #5: Cruzan v. Director, Missouri Department of Health, available at </w:t>
      </w:r>
      <w:hyperlink r:id="rId19" w:history="1">
        <w:r w:rsidRPr="001F2D53">
          <w:rPr>
            <w:rStyle w:val="Hyperlink"/>
            <w:rFonts w:ascii="Garamond" w:hAnsi="Garamond" w:cs="Arial"/>
            <w:sz w:val="24"/>
            <w:szCs w:val="24"/>
          </w:rPr>
          <w:t>http://www.law.cornell.edu/supremecourt/text/497/261</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855D40" w:rsidRPr="001F2D53">
        <w:rPr>
          <w:rFonts w:ascii="Garamond" w:hAnsi="Garamond" w:cs="Arial"/>
          <w:sz w:val="24"/>
          <w:szCs w:val="24"/>
        </w:rPr>
        <w:t>The Problem of Historical Interpretation</w:t>
      </w:r>
    </w:p>
    <w:p w:rsidR="00855D40" w:rsidRPr="001F2D53" w:rsidRDefault="00A52F77" w:rsidP="00855D40">
      <w:pPr>
        <w:rPr>
          <w:rFonts w:ascii="Garamond" w:hAnsi="Garamond"/>
          <w:smallCaps/>
        </w:rPr>
      </w:pPr>
      <w:r w:rsidRPr="001F2D53">
        <w:rPr>
          <w:rFonts w:ascii="Garamond" w:hAnsi="Garamond" w:cs="Arial"/>
          <w:sz w:val="24"/>
          <w:szCs w:val="24"/>
        </w:rPr>
        <w:t xml:space="preserve">Reading: </w:t>
      </w:r>
      <w:r w:rsidR="00855D40" w:rsidRPr="001F2D53">
        <w:rPr>
          <w:rFonts w:ascii="Garamond" w:hAnsi="Garamond" w:cs="Arial"/>
          <w:sz w:val="24"/>
          <w:szCs w:val="24"/>
        </w:rPr>
        <w:t xml:space="preserve">Adam Winkler, “The Secret History of Guns,” available at </w:t>
      </w:r>
      <w:hyperlink r:id="rId20" w:history="1">
        <w:r w:rsidR="00855D40" w:rsidRPr="001F2D53">
          <w:rPr>
            <w:rStyle w:val="Hyperlink"/>
            <w:rFonts w:ascii="Garamond" w:hAnsi="Garamond"/>
            <w:smallCaps/>
          </w:rPr>
          <w:t>http://www.theatlantic.com/magazine/archive/2011/09/the-secret-history-of-guns/308608/</w:t>
        </w:r>
      </w:hyperlink>
    </w:p>
    <w:p w:rsidR="00A52F77" w:rsidRPr="001F2D53" w:rsidRDefault="00A52F77" w:rsidP="00855D40">
      <w:pPr>
        <w:rPr>
          <w:rFonts w:ascii="Garamond" w:hAnsi="Garamond" w:cs="Arial"/>
          <w:sz w:val="24"/>
          <w:szCs w:val="24"/>
        </w:rPr>
      </w:pPr>
    </w:p>
    <w:p w:rsidR="00A52F77" w:rsidRPr="00B04BA4" w:rsidRDefault="00B04BA4" w:rsidP="00A52F77">
      <w:pPr>
        <w:rPr>
          <w:rFonts w:ascii="Garamond" w:hAnsi="Garamond" w:cs="Arial"/>
          <w:i/>
          <w:sz w:val="24"/>
          <w:szCs w:val="24"/>
        </w:rPr>
      </w:pPr>
      <w:r>
        <w:rPr>
          <w:rFonts w:ascii="Garamond" w:hAnsi="Garamond" w:cs="Arial"/>
          <w:i/>
          <w:sz w:val="24"/>
          <w:szCs w:val="24"/>
        </w:rPr>
        <w:t>Week 8</w:t>
      </w:r>
    </w:p>
    <w:p w:rsidR="00A52F77" w:rsidRPr="001F2D53" w:rsidRDefault="00A52F77" w:rsidP="00A52F77">
      <w:pPr>
        <w:rPr>
          <w:rFonts w:ascii="Garamond" w:hAnsi="Garamond" w:cs="Arial"/>
          <w:i/>
          <w:sz w:val="24"/>
          <w:szCs w:val="24"/>
        </w:rPr>
      </w:pPr>
      <w:r w:rsidRPr="001F2D53">
        <w:rPr>
          <w:rFonts w:ascii="Garamond" w:hAnsi="Garamond" w:cs="Arial"/>
          <w:sz w:val="24"/>
          <w:szCs w:val="24"/>
        </w:rPr>
        <w:t>Video</w:t>
      </w:r>
      <w:r w:rsidR="00855D40" w:rsidRPr="001F2D53">
        <w:rPr>
          <w:rFonts w:ascii="Garamond" w:hAnsi="Garamond" w:cs="Arial"/>
          <w:sz w:val="24"/>
          <w:szCs w:val="24"/>
        </w:rPr>
        <w:t>:  Advise and Dissent (film)</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Currently viewable online </w:t>
      </w:r>
      <w:r w:rsidR="00855D40" w:rsidRPr="001F2D53">
        <w:rPr>
          <w:rFonts w:ascii="Garamond" w:hAnsi="Garamond" w:cs="Arial"/>
          <w:sz w:val="24"/>
          <w:szCs w:val="24"/>
        </w:rPr>
        <w:t xml:space="preserve">at </w:t>
      </w:r>
      <w:hyperlink r:id="rId21" w:history="1">
        <w:r w:rsidR="00855D40" w:rsidRPr="001F2D53">
          <w:rPr>
            <w:rStyle w:val="Hyperlink"/>
            <w:rFonts w:ascii="Garamond" w:hAnsi="Garamond" w:cs="Arial"/>
            <w:sz w:val="24"/>
            <w:szCs w:val="24"/>
          </w:rPr>
          <w:t>http://www.snagfilms.com/films/title/advise_and_dissent</w:t>
        </w:r>
      </w:hyperlink>
      <w:r w:rsidR="00855D40" w:rsidRPr="001F2D53">
        <w:rPr>
          <w:rFonts w:ascii="Garamond" w:hAnsi="Garamond" w:cs="Arial"/>
          <w:sz w:val="24"/>
          <w:szCs w:val="24"/>
        </w:rPr>
        <w:t xml:space="preserve"> </w:t>
      </w:r>
      <w:r w:rsidRPr="001F2D53">
        <w:rPr>
          <w:rFonts w:ascii="Garamond" w:hAnsi="Garamond" w:cs="Arial"/>
          <w:sz w:val="24"/>
          <w:szCs w:val="24"/>
        </w:rPr>
        <w:t xml:space="preserve"> </w:t>
      </w:r>
    </w:p>
    <w:p w:rsidR="00A52F77" w:rsidRPr="001F2D53" w:rsidRDefault="00A52F77" w:rsidP="00A52F77">
      <w:pPr>
        <w:rPr>
          <w:rFonts w:ascii="Garamond" w:hAnsi="Garamond" w:cs="Arial"/>
          <w:b/>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855D40" w:rsidRPr="001F2D53">
        <w:rPr>
          <w:rFonts w:ascii="Garamond" w:hAnsi="Garamond" w:cs="Arial"/>
          <w:sz w:val="24"/>
          <w:szCs w:val="24"/>
        </w:rPr>
        <w:t>A Divided Country</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855D40" w:rsidRPr="001F2D53">
        <w:rPr>
          <w:rFonts w:ascii="Garamond" w:hAnsi="Garamond" w:cs="Arial"/>
          <w:sz w:val="24"/>
          <w:szCs w:val="24"/>
        </w:rPr>
        <w:t>Hall, pp. 497-539</w:t>
      </w:r>
    </w:p>
    <w:p w:rsidR="00B04BA4" w:rsidRDefault="00A52F77" w:rsidP="00A52F77">
      <w:pPr>
        <w:rPr>
          <w:rFonts w:ascii="Garamond" w:hAnsi="Garamond" w:cs="Arial"/>
          <w:sz w:val="24"/>
          <w:szCs w:val="24"/>
        </w:rPr>
      </w:pPr>
      <w:r w:rsidRPr="001F2D53">
        <w:rPr>
          <w:rFonts w:ascii="Garamond" w:hAnsi="Garamond" w:cs="Arial"/>
          <w:sz w:val="24"/>
          <w:szCs w:val="24"/>
        </w:rPr>
        <w:t xml:space="preserve">Video: </w:t>
      </w:r>
      <w:r w:rsidR="00B04BA4">
        <w:rPr>
          <w:rFonts w:ascii="Garamond" w:hAnsi="Garamond" w:cs="Arial"/>
          <w:sz w:val="24"/>
          <w:szCs w:val="24"/>
        </w:rPr>
        <w:t xml:space="preserve"> Pat Buchanan, “1992 RNC Address” available at </w:t>
      </w:r>
      <w:hyperlink r:id="rId22" w:history="1">
        <w:r w:rsidR="00B04BA4" w:rsidRPr="00ED74AA">
          <w:rPr>
            <w:rStyle w:val="Hyperlink"/>
            <w:rFonts w:ascii="Garamond" w:hAnsi="Garamond" w:cs="Arial"/>
            <w:sz w:val="24"/>
            <w:szCs w:val="24"/>
          </w:rPr>
          <w:t>http://www.americanrhetoric.com/speeches/patrickbuchanan1992rnc.htm</w:t>
        </w:r>
      </w:hyperlink>
      <w:r w:rsidR="00B04BA4">
        <w:rPr>
          <w:rFonts w:ascii="Garamond" w:hAnsi="Garamond" w:cs="Arial"/>
          <w:sz w:val="24"/>
          <w:szCs w:val="24"/>
        </w:rPr>
        <w:t xml:space="preserve"> </w:t>
      </w:r>
      <w:r w:rsidRPr="001F2D53">
        <w:rPr>
          <w:rFonts w:ascii="Garamond" w:hAnsi="Garamond" w:cs="Arial"/>
          <w:sz w:val="24"/>
          <w:szCs w:val="24"/>
        </w:rPr>
        <w:t xml:space="preserve"> </w:t>
      </w:r>
    </w:p>
    <w:p w:rsidR="00B04BA4" w:rsidRDefault="00A52F77" w:rsidP="00A52F77">
      <w:pPr>
        <w:rPr>
          <w:rFonts w:ascii="Garamond" w:hAnsi="Garamond"/>
        </w:rPr>
      </w:pPr>
      <w:r w:rsidRPr="001F2D53">
        <w:rPr>
          <w:rFonts w:ascii="Garamond" w:hAnsi="Garamond" w:cs="Arial"/>
          <w:sz w:val="24"/>
          <w:szCs w:val="24"/>
        </w:rPr>
        <w:t xml:space="preserve">Jesse Jackson, “1984 DNC Address” available at </w:t>
      </w:r>
      <w:hyperlink r:id="rId23" w:history="1">
        <w:r w:rsidRPr="001F2D53">
          <w:rPr>
            <w:rStyle w:val="Hyperlink"/>
            <w:rFonts w:ascii="Garamond" w:hAnsi="Garamond" w:cs="Arial"/>
            <w:sz w:val="24"/>
            <w:szCs w:val="24"/>
          </w:rPr>
          <w:t>http://www.americanrhetoric.com/speeches/jessejackson1984dnc.htm</w:t>
        </w:r>
      </w:hyperlink>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855D40" w:rsidRPr="001F2D53">
        <w:rPr>
          <w:rFonts w:ascii="Garamond" w:hAnsi="Garamond" w:cs="Arial"/>
          <w:sz w:val="24"/>
          <w:szCs w:val="24"/>
        </w:rPr>
        <w:t>A Divided Country: Continued</w:t>
      </w:r>
    </w:p>
    <w:p w:rsidR="0098377B"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B04BA4">
        <w:rPr>
          <w:rFonts w:ascii="Garamond" w:hAnsi="Garamond" w:cs="Arial"/>
          <w:sz w:val="24"/>
          <w:szCs w:val="24"/>
        </w:rPr>
        <w:t xml:space="preserve"> </w:t>
      </w:r>
      <w:r w:rsidRPr="001F2D53">
        <w:rPr>
          <w:rFonts w:ascii="Garamond" w:hAnsi="Garamond" w:cs="Arial"/>
          <w:sz w:val="24"/>
          <w:szCs w:val="24"/>
        </w:rPr>
        <w:t xml:space="preserve">Robert Putnam, “Bowling Alone” available at </w:t>
      </w:r>
      <w:hyperlink r:id="rId24" w:history="1">
        <w:r w:rsidRPr="001F2D53">
          <w:rPr>
            <w:rStyle w:val="Hyperlink"/>
            <w:rFonts w:ascii="Garamond" w:hAnsi="Garamond" w:cs="Arial"/>
            <w:sz w:val="24"/>
            <w:szCs w:val="24"/>
          </w:rPr>
          <w:t>http://xroads.virginia.edu/~HYPER/DETOC/assoc/bowling.html</w:t>
        </w:r>
      </w:hyperlink>
    </w:p>
    <w:p w:rsidR="0098377B" w:rsidRPr="001F2D53" w:rsidRDefault="0098377B" w:rsidP="0098377B">
      <w:pPr>
        <w:rPr>
          <w:rFonts w:ascii="Garamond" w:hAnsi="Garamond"/>
        </w:rPr>
      </w:pPr>
      <w:r w:rsidRPr="001F2D53">
        <w:rPr>
          <w:rFonts w:ascii="Garamond" w:hAnsi="Garamond" w:cs="Arial"/>
          <w:sz w:val="24"/>
          <w:szCs w:val="24"/>
        </w:rPr>
        <w:t xml:space="preserve">Case brief #6: </w:t>
      </w:r>
      <w:r w:rsidRPr="001F2D53">
        <w:rPr>
          <w:rFonts w:ascii="Garamond" w:hAnsi="Garamond"/>
        </w:rPr>
        <w:t xml:space="preserve">Roe v. Wade, available at  </w:t>
      </w:r>
      <w:hyperlink r:id="rId25" w:history="1">
        <w:r w:rsidRPr="001F2D53">
          <w:rPr>
            <w:rStyle w:val="Hyperlink"/>
            <w:rFonts w:ascii="Garamond" w:hAnsi="Garamond"/>
          </w:rPr>
          <w:t>http://supreme.justia.com/cases/federal/us/410/113/case.html</w:t>
        </w:r>
      </w:hyperlink>
      <w:r w:rsidRPr="001F2D53">
        <w:rPr>
          <w:rFonts w:ascii="Garamond" w:hAnsi="Garamond"/>
        </w:rPr>
        <w:t xml:space="preserve"> </w:t>
      </w:r>
    </w:p>
    <w:p w:rsidR="00A52F77" w:rsidRPr="001F2D53" w:rsidRDefault="00A52F77" w:rsidP="00A52F77">
      <w:pPr>
        <w:rPr>
          <w:rFonts w:ascii="Garamond" w:hAnsi="Garamond" w:cs="Arial"/>
          <w:sz w:val="24"/>
          <w:szCs w:val="24"/>
        </w:rPr>
      </w:pPr>
    </w:p>
    <w:p w:rsidR="00A52F77" w:rsidRPr="00B04BA4" w:rsidRDefault="00B04BA4" w:rsidP="00A52F77">
      <w:pPr>
        <w:rPr>
          <w:rFonts w:ascii="Garamond" w:hAnsi="Garamond" w:cs="Arial"/>
          <w:i/>
          <w:sz w:val="24"/>
          <w:szCs w:val="24"/>
        </w:rPr>
      </w:pPr>
      <w:r w:rsidRPr="00B04BA4">
        <w:rPr>
          <w:rFonts w:ascii="Garamond" w:hAnsi="Garamond" w:cs="Arial"/>
          <w:i/>
          <w:sz w:val="24"/>
          <w:szCs w:val="24"/>
        </w:rPr>
        <w:t>Week 9</w:t>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American Legal History and Judicial Politics</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Reading: Bateman, “Why Supreme Court Justices Should Have to Run for Office,” </w:t>
      </w:r>
      <w:hyperlink r:id="rId26" w:history="1">
        <w:r w:rsidRPr="001F2D53">
          <w:rPr>
            <w:rStyle w:val="Hyperlink"/>
            <w:rFonts w:ascii="Garamond" w:hAnsi="Garamond" w:cs="Arial"/>
            <w:sz w:val="24"/>
            <w:szCs w:val="24"/>
          </w:rPr>
          <w:t>http://mic.com/articles/94724/why-supreme-court-justices-should-have-to-run-for-office</w:t>
        </w:r>
      </w:hyperlink>
      <w:r w:rsidRPr="001F2D53">
        <w:rPr>
          <w:rFonts w:ascii="Garamond" w:hAnsi="Garamond" w:cs="Arial"/>
          <w:sz w:val="24"/>
          <w:szCs w:val="24"/>
        </w:rPr>
        <w:t xml:space="preserve"> </w:t>
      </w:r>
    </w:p>
    <w:p w:rsidR="00A52F77" w:rsidRPr="001F2D53" w:rsidRDefault="0098377B" w:rsidP="00A52F77">
      <w:pPr>
        <w:rPr>
          <w:rFonts w:ascii="Garamond" w:hAnsi="Garamond" w:cs="Arial"/>
          <w:sz w:val="24"/>
          <w:szCs w:val="24"/>
        </w:rPr>
      </w:pPr>
      <w:r w:rsidRPr="001F2D53">
        <w:rPr>
          <w:rFonts w:ascii="Garamond" w:hAnsi="Garamond" w:cs="Arial"/>
          <w:sz w:val="24"/>
          <w:szCs w:val="24"/>
        </w:rPr>
        <w:t xml:space="preserve">Case brief #7:  </w:t>
      </w:r>
      <w:r w:rsidR="00A52F77" w:rsidRPr="001F2D53">
        <w:rPr>
          <w:rFonts w:ascii="Garamond" w:hAnsi="Garamond" w:cs="Arial"/>
          <w:i/>
          <w:sz w:val="24"/>
          <w:szCs w:val="24"/>
        </w:rPr>
        <w:t>Planned Parenthood v. Casey</w:t>
      </w:r>
      <w:r w:rsidR="00A52F77" w:rsidRPr="001F2D53">
        <w:rPr>
          <w:rFonts w:ascii="Garamond" w:hAnsi="Garamond" w:cs="Arial"/>
          <w:sz w:val="24"/>
          <w:szCs w:val="24"/>
        </w:rPr>
        <w:t xml:space="preserve"> (1992), available at </w:t>
      </w:r>
      <w:hyperlink r:id="rId27" w:history="1">
        <w:r w:rsidR="00A52F77" w:rsidRPr="001F2D53">
          <w:rPr>
            <w:rStyle w:val="Hyperlink"/>
            <w:rFonts w:ascii="Garamond" w:hAnsi="Garamond" w:cs="Arial"/>
            <w:sz w:val="24"/>
            <w:szCs w:val="24"/>
          </w:rPr>
          <w:t>http://supreme.justia.com/cases/federal/us/505/833/case.html</w:t>
        </w:r>
      </w:hyperlink>
      <w:r w:rsidR="00A52F77" w:rsidRPr="001F2D53">
        <w:rPr>
          <w:rFonts w:ascii="Garamond" w:hAnsi="Garamond" w:cs="Arial"/>
          <w:sz w:val="24"/>
          <w:szCs w:val="24"/>
        </w:rPr>
        <w:t xml:space="preserve"> </w:t>
      </w:r>
    </w:p>
    <w:p w:rsidR="00A52F77" w:rsidRPr="001F2D53" w:rsidRDefault="0090044D" w:rsidP="00A52F77">
      <w:pPr>
        <w:rPr>
          <w:rFonts w:ascii="Garamond" w:hAnsi="Garamond" w:cs="Arial"/>
          <w:sz w:val="24"/>
          <w:szCs w:val="24"/>
        </w:rPr>
      </w:pPr>
      <w:r w:rsidRPr="001F2D53">
        <w:rPr>
          <w:rFonts w:ascii="Garamond" w:hAnsi="Garamond" w:cs="Arial"/>
          <w:sz w:val="24"/>
          <w:szCs w:val="24"/>
        </w:rPr>
        <w:t xml:space="preserve"> </w:t>
      </w:r>
      <w:r w:rsidR="0098377B" w:rsidRPr="001F2D53">
        <w:rPr>
          <w:rFonts w:ascii="Garamond" w:hAnsi="Garamond" w:cs="Arial"/>
          <w:sz w:val="24"/>
          <w:szCs w:val="24"/>
        </w:rPr>
        <w:t xml:space="preserve">“Clarence Thomas Confirmation Hearings,” available at </w:t>
      </w:r>
      <w:hyperlink r:id="rId28" w:history="1">
        <w:r w:rsidR="00FC7A80" w:rsidRPr="001F2D53">
          <w:rPr>
            <w:rStyle w:val="Hyperlink"/>
            <w:rFonts w:ascii="Garamond" w:hAnsi="Garamond" w:cs="Arial"/>
            <w:sz w:val="24"/>
            <w:szCs w:val="24"/>
          </w:rPr>
          <w:t>https://www.youtube.com/watch?v=G3n-Sa0B2s8</w:t>
        </w:r>
      </w:hyperlink>
      <w:r w:rsidR="00FC7A80" w:rsidRPr="001F2D53">
        <w:rPr>
          <w:rFonts w:ascii="Garamond" w:hAnsi="Garamond" w:cs="Arial"/>
          <w:sz w:val="24"/>
          <w:szCs w:val="24"/>
        </w:rPr>
        <w:t xml:space="preserve"> </w:t>
      </w:r>
      <w:r w:rsidR="00FC7A80" w:rsidRPr="001F2D53">
        <w:rPr>
          <w:rFonts w:ascii="Garamond" w:hAnsi="Garamond" w:cs="Arial"/>
          <w:sz w:val="24"/>
          <w:szCs w:val="24"/>
        </w:rPr>
        <w:tab/>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Lecture:  Gay, Lesbian, and Transgender Movements in the 20</w:t>
      </w:r>
      <w:r w:rsidRPr="001F2D53">
        <w:rPr>
          <w:rFonts w:ascii="Garamond" w:hAnsi="Garamond" w:cs="Arial"/>
          <w:sz w:val="24"/>
          <w:szCs w:val="24"/>
          <w:vertAlign w:val="superscript"/>
        </w:rPr>
        <w:t>th</w:t>
      </w:r>
      <w:r w:rsidRPr="001F2D53">
        <w:rPr>
          <w:rFonts w:ascii="Garamond" w:hAnsi="Garamond" w:cs="Arial"/>
          <w:sz w:val="24"/>
          <w:szCs w:val="24"/>
        </w:rPr>
        <w:t xml:space="preserve"> Century</w:t>
      </w:r>
    </w:p>
    <w:p w:rsidR="0098377B"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98377B" w:rsidRPr="001F2D53">
        <w:rPr>
          <w:rFonts w:ascii="Garamond" w:hAnsi="Garamond" w:cs="Arial"/>
          <w:sz w:val="24"/>
          <w:szCs w:val="24"/>
        </w:rPr>
        <w:t xml:space="preserve">Bowers v. Hardwick, available at </w:t>
      </w:r>
      <w:hyperlink r:id="rId29" w:history="1">
        <w:r w:rsidR="0098377B" w:rsidRPr="001F2D53">
          <w:rPr>
            <w:rStyle w:val="Hyperlink"/>
            <w:rFonts w:ascii="Garamond" w:hAnsi="Garamond" w:cs="Arial"/>
            <w:sz w:val="24"/>
            <w:szCs w:val="24"/>
          </w:rPr>
          <w:t>http://caselaw.lp.findlaw.com/scripts/getcase.pl?court=US&amp;vol=478&amp;invol=186</w:t>
        </w:r>
      </w:hyperlink>
    </w:p>
    <w:p w:rsidR="0098377B" w:rsidRPr="001F2D53" w:rsidRDefault="0098377B" w:rsidP="00A52F77">
      <w:pPr>
        <w:rPr>
          <w:rFonts w:ascii="Garamond" w:hAnsi="Garamond" w:cs="Arial"/>
          <w:sz w:val="24"/>
          <w:szCs w:val="24"/>
        </w:rPr>
      </w:pPr>
      <w:r w:rsidRPr="001F2D53">
        <w:rPr>
          <w:rFonts w:ascii="Garamond" w:hAnsi="Garamond" w:cs="Arial"/>
          <w:sz w:val="24"/>
          <w:szCs w:val="24"/>
        </w:rPr>
        <w:t xml:space="preserve">Lawrence v. Texas, available at </w:t>
      </w:r>
      <w:hyperlink r:id="rId30" w:history="1">
        <w:r w:rsidRPr="001F2D53">
          <w:rPr>
            <w:rStyle w:val="Hyperlink"/>
            <w:rFonts w:ascii="Garamond" w:hAnsi="Garamond" w:cs="Arial"/>
            <w:sz w:val="24"/>
            <w:szCs w:val="24"/>
          </w:rPr>
          <w:t>http://www.law.cornell.edu/supct/html/02-102.ZS.html</w:t>
        </w:r>
      </w:hyperlink>
      <w:r w:rsidRPr="001F2D53">
        <w:rPr>
          <w:rFonts w:ascii="Garamond" w:hAnsi="Garamond" w:cs="Arial"/>
          <w:sz w:val="24"/>
          <w:szCs w:val="24"/>
        </w:rPr>
        <w:t xml:space="preserve"> </w:t>
      </w:r>
      <w:r w:rsidR="00A52F77" w:rsidRPr="001F2D53">
        <w:rPr>
          <w:rFonts w:ascii="Garamond" w:hAnsi="Garamond" w:cs="Arial"/>
          <w:sz w:val="24"/>
          <w:szCs w:val="24"/>
        </w:rPr>
        <w:t xml:space="preserve"> </w:t>
      </w:r>
    </w:p>
    <w:p w:rsidR="0098377B" w:rsidRPr="001F2D53" w:rsidRDefault="0098377B" w:rsidP="00A52F77">
      <w:pPr>
        <w:rPr>
          <w:rFonts w:ascii="Garamond" w:hAnsi="Garamond" w:cs="Arial"/>
          <w:sz w:val="24"/>
          <w:szCs w:val="24"/>
        </w:rPr>
      </w:pPr>
      <w:r w:rsidRPr="001F2D53">
        <w:rPr>
          <w:rFonts w:ascii="Garamond" w:hAnsi="Garamond" w:cs="Arial"/>
          <w:sz w:val="24"/>
          <w:szCs w:val="24"/>
        </w:rPr>
        <w:t xml:space="preserve">Case brief #8:  Goodridge v. Department of Public Death (Massachusetts), available at </w:t>
      </w:r>
      <w:hyperlink r:id="rId31" w:history="1">
        <w:r w:rsidRPr="001F2D53">
          <w:rPr>
            <w:rStyle w:val="Hyperlink"/>
            <w:rFonts w:ascii="Garamond" w:hAnsi="Garamond" w:cs="Arial"/>
            <w:sz w:val="24"/>
            <w:szCs w:val="24"/>
          </w:rPr>
          <w:t>http://news.findlaw.com/cnn/docs/conlaw/goodridge111803opn.pdf</w:t>
        </w:r>
      </w:hyperlink>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p>
    <w:p w:rsidR="00A52F77" w:rsidRPr="0090044D" w:rsidRDefault="0090044D" w:rsidP="00A52F77">
      <w:pPr>
        <w:rPr>
          <w:rFonts w:ascii="Garamond" w:hAnsi="Garamond" w:cs="Arial"/>
          <w:i/>
          <w:sz w:val="24"/>
          <w:szCs w:val="24"/>
        </w:rPr>
      </w:pPr>
      <w:r>
        <w:rPr>
          <w:rFonts w:ascii="Garamond" w:hAnsi="Garamond" w:cs="Arial"/>
          <w:i/>
          <w:sz w:val="24"/>
          <w:szCs w:val="24"/>
        </w:rPr>
        <w:t>Week 10</w:t>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Free Speech in the 20</w:t>
      </w:r>
      <w:r w:rsidRPr="001F2D53">
        <w:rPr>
          <w:rFonts w:ascii="Garamond" w:hAnsi="Garamond" w:cs="Arial"/>
          <w:sz w:val="24"/>
          <w:szCs w:val="24"/>
          <w:vertAlign w:val="superscript"/>
        </w:rPr>
        <w:t>th</w:t>
      </w:r>
      <w:r w:rsidRPr="001F2D53">
        <w:rPr>
          <w:rFonts w:ascii="Garamond" w:hAnsi="Garamond" w:cs="Arial"/>
          <w:sz w:val="24"/>
          <w:szCs w:val="24"/>
        </w:rPr>
        <w:t xml:space="preserve"> Century</w:t>
      </w:r>
    </w:p>
    <w:p w:rsidR="00A52F77" w:rsidRPr="001F2D53" w:rsidRDefault="00A52F77" w:rsidP="00A52F77">
      <w:pPr>
        <w:rPr>
          <w:rFonts w:ascii="Garamond" w:hAnsi="Garamond" w:cs="Arial"/>
          <w:sz w:val="24"/>
          <w:szCs w:val="24"/>
        </w:rPr>
      </w:pPr>
      <w:r w:rsidRPr="001F2D53">
        <w:rPr>
          <w:rFonts w:ascii="Garamond" w:hAnsi="Garamond" w:cs="Arial"/>
          <w:sz w:val="24"/>
          <w:szCs w:val="24"/>
        </w:rPr>
        <w:t>Reading</w:t>
      </w:r>
      <w:r w:rsidR="0098377B" w:rsidRPr="001F2D53">
        <w:rPr>
          <w:rFonts w:ascii="Garamond" w:hAnsi="Garamond" w:cs="Arial"/>
          <w:sz w:val="24"/>
          <w:szCs w:val="24"/>
        </w:rPr>
        <w:t xml:space="preserve">: </w:t>
      </w:r>
      <w:r w:rsidRPr="001F2D53">
        <w:rPr>
          <w:rFonts w:ascii="Garamond" w:hAnsi="Garamond" w:cs="Arial"/>
          <w:i/>
          <w:sz w:val="24"/>
          <w:szCs w:val="24"/>
        </w:rPr>
        <w:t xml:space="preserve">Schenck v. United States </w:t>
      </w:r>
      <w:r w:rsidRPr="001F2D53">
        <w:rPr>
          <w:rFonts w:ascii="Garamond" w:hAnsi="Garamond" w:cs="Arial"/>
          <w:sz w:val="24"/>
          <w:szCs w:val="24"/>
        </w:rPr>
        <w:t xml:space="preserve">available at </w:t>
      </w:r>
      <w:hyperlink r:id="rId32" w:history="1">
        <w:r w:rsidRPr="001F2D53">
          <w:rPr>
            <w:rStyle w:val="Hyperlink"/>
            <w:rFonts w:ascii="Garamond" w:hAnsi="Garamond" w:cs="Arial"/>
            <w:sz w:val="24"/>
            <w:szCs w:val="24"/>
          </w:rPr>
          <w:t>http://supreme.justia.com/cases/federal/us/249/47/case.html</w:t>
        </w:r>
      </w:hyperlink>
      <w:r w:rsidRPr="001F2D53">
        <w:rPr>
          <w:rFonts w:ascii="Garamond" w:hAnsi="Garamond" w:cs="Arial"/>
          <w:sz w:val="24"/>
          <w:szCs w:val="24"/>
        </w:rPr>
        <w:t xml:space="preserve"> (read only Holmes opinion)</w:t>
      </w:r>
    </w:p>
    <w:p w:rsidR="00A52F77" w:rsidRPr="001F2D53" w:rsidRDefault="00A52F77" w:rsidP="00A52F77">
      <w:pPr>
        <w:rPr>
          <w:rFonts w:ascii="Garamond" w:hAnsi="Garamond" w:cs="Arial"/>
          <w:sz w:val="24"/>
          <w:szCs w:val="24"/>
        </w:rPr>
      </w:pPr>
      <w:r w:rsidRPr="001F2D53">
        <w:rPr>
          <w:rFonts w:ascii="Garamond" w:hAnsi="Garamond" w:cs="Arial"/>
          <w:i/>
          <w:sz w:val="24"/>
          <w:szCs w:val="24"/>
        </w:rPr>
        <w:t xml:space="preserve">Abrams v. United States </w:t>
      </w:r>
      <w:r w:rsidRPr="001F2D53">
        <w:rPr>
          <w:rFonts w:ascii="Garamond" w:hAnsi="Garamond" w:cs="Arial"/>
          <w:sz w:val="24"/>
          <w:szCs w:val="24"/>
        </w:rPr>
        <w:t xml:space="preserve">available at </w:t>
      </w:r>
      <w:hyperlink r:id="rId33" w:history="1">
        <w:r w:rsidRPr="001F2D53">
          <w:rPr>
            <w:rStyle w:val="Hyperlink"/>
            <w:rFonts w:ascii="Garamond" w:hAnsi="Garamond" w:cs="Arial"/>
            <w:sz w:val="24"/>
            <w:szCs w:val="24"/>
          </w:rPr>
          <w:t>http://supreme.justia.com/cases/federal/us/250/616/case.html</w:t>
        </w:r>
      </w:hyperlink>
      <w:r w:rsidRPr="001F2D53">
        <w:rPr>
          <w:rFonts w:ascii="Garamond" w:hAnsi="Garamond" w:cs="Arial"/>
          <w:sz w:val="24"/>
          <w:szCs w:val="24"/>
        </w:rPr>
        <w:t xml:space="preserve"> (read only Holmes dissent)</w:t>
      </w:r>
      <w:r w:rsidRPr="001F2D53">
        <w:rPr>
          <w:rFonts w:ascii="Garamond" w:hAnsi="Garamond" w:cs="Arial"/>
          <w:sz w:val="24"/>
          <w:szCs w:val="24"/>
        </w:rPr>
        <w:tab/>
      </w:r>
      <w:r w:rsidRPr="001F2D53">
        <w:rPr>
          <w:rFonts w:ascii="Garamond" w:hAnsi="Garamond" w:cs="Arial"/>
          <w:sz w:val="24"/>
          <w:szCs w:val="24"/>
        </w:rPr>
        <w:tab/>
      </w:r>
    </w:p>
    <w:p w:rsidR="00A52F77" w:rsidRPr="001F2D53" w:rsidRDefault="00A52F77" w:rsidP="00A52F77">
      <w:pPr>
        <w:rPr>
          <w:rFonts w:ascii="Garamond" w:hAnsi="Garamond" w:cs="Arial"/>
          <w:sz w:val="24"/>
          <w:szCs w:val="24"/>
        </w:rPr>
      </w:pPr>
      <w:r w:rsidRPr="001F2D53">
        <w:rPr>
          <w:rFonts w:ascii="Garamond" w:hAnsi="Garamond" w:cs="Arial"/>
          <w:sz w:val="24"/>
          <w:szCs w:val="24"/>
        </w:rPr>
        <w:t>Lecture: Free Speech</w:t>
      </w:r>
      <w:r w:rsidR="0098377B" w:rsidRPr="001F2D53">
        <w:rPr>
          <w:rFonts w:ascii="Garamond" w:hAnsi="Garamond" w:cs="Arial"/>
          <w:sz w:val="24"/>
          <w:szCs w:val="24"/>
        </w:rPr>
        <w:t xml:space="preserve"> and Religious Freedom in the 21</w:t>
      </w:r>
      <w:r w:rsidR="0098377B" w:rsidRPr="001F2D53">
        <w:rPr>
          <w:rFonts w:ascii="Garamond" w:hAnsi="Garamond" w:cs="Arial"/>
          <w:sz w:val="24"/>
          <w:szCs w:val="24"/>
          <w:vertAlign w:val="superscript"/>
        </w:rPr>
        <w:t>st</w:t>
      </w:r>
      <w:r w:rsidRPr="001F2D53">
        <w:rPr>
          <w:rFonts w:ascii="Garamond" w:hAnsi="Garamond" w:cs="Arial"/>
          <w:sz w:val="24"/>
          <w:szCs w:val="24"/>
        </w:rPr>
        <w:t xml:space="preserve"> Century</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Pr="001F2D53">
        <w:rPr>
          <w:rFonts w:ascii="Garamond" w:hAnsi="Garamond" w:cs="Arial"/>
          <w:i/>
          <w:sz w:val="24"/>
          <w:szCs w:val="24"/>
        </w:rPr>
        <w:t xml:space="preserve">Burwell v. Hobby Lobby Stores </w:t>
      </w:r>
      <w:r w:rsidRPr="001F2D53">
        <w:rPr>
          <w:rFonts w:ascii="Garamond" w:hAnsi="Garamond" w:cs="Arial"/>
          <w:sz w:val="24"/>
          <w:szCs w:val="24"/>
        </w:rPr>
        <w:t xml:space="preserve">(2014) available at </w:t>
      </w:r>
      <w:hyperlink r:id="rId34" w:history="1">
        <w:r w:rsidRPr="001F2D53">
          <w:rPr>
            <w:rStyle w:val="Hyperlink"/>
            <w:rFonts w:ascii="Garamond" w:hAnsi="Garamond" w:cs="Arial"/>
            <w:sz w:val="24"/>
            <w:szCs w:val="24"/>
          </w:rPr>
          <w:t>http://www.supremecourt.gov/opinions/13pdf/13-354_olp1.pdf</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Bateman, “Why Intent Shouldn’t Matter with Online Threats,” </w:t>
      </w:r>
      <w:hyperlink r:id="rId35" w:history="1">
        <w:r w:rsidRPr="001F2D53">
          <w:rPr>
            <w:rStyle w:val="Hyperlink"/>
            <w:rFonts w:ascii="Garamond" w:hAnsi="Garamond" w:cs="Arial"/>
            <w:sz w:val="24"/>
            <w:szCs w:val="24"/>
          </w:rPr>
          <w:t>http://america.aljazeera.com/opinions/2014/6/online-threats-internetfirstamendmentfacebooksupremecourt.html</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90044D" w:rsidRDefault="0090044D" w:rsidP="00A52F77">
      <w:pPr>
        <w:rPr>
          <w:rFonts w:ascii="Garamond" w:hAnsi="Garamond" w:cs="Arial"/>
          <w:i/>
          <w:sz w:val="24"/>
          <w:szCs w:val="24"/>
        </w:rPr>
      </w:pPr>
      <w:r>
        <w:rPr>
          <w:rFonts w:ascii="Garamond" w:hAnsi="Garamond" w:cs="Arial"/>
          <w:i/>
          <w:sz w:val="24"/>
          <w:szCs w:val="24"/>
        </w:rPr>
        <w:t>Week 11</w:t>
      </w:r>
    </w:p>
    <w:p w:rsidR="00FC7A80" w:rsidRPr="001F2D53" w:rsidRDefault="00FC7A80" w:rsidP="00FC7A80">
      <w:pPr>
        <w:contextualSpacing/>
        <w:rPr>
          <w:rFonts w:ascii="Garamond" w:hAnsi="Garamond"/>
          <w:smallCaps/>
        </w:rPr>
      </w:pPr>
      <w:r w:rsidRPr="001F2D53">
        <w:rPr>
          <w:rFonts w:ascii="Garamond" w:hAnsi="Garamond" w:cs="Arial"/>
          <w:sz w:val="24"/>
          <w:szCs w:val="24"/>
        </w:rPr>
        <w:t>Lecture:  Sports and the Law</w:t>
      </w:r>
      <w:r w:rsidRPr="001F2D53">
        <w:rPr>
          <w:rFonts w:ascii="Garamond" w:hAnsi="Garamond" w:cs="Arial"/>
          <w:sz w:val="24"/>
          <w:szCs w:val="24"/>
        </w:rPr>
        <w:br/>
        <w:t xml:space="preserve">Reading: </w:t>
      </w:r>
      <w:r w:rsidRPr="001F2D53">
        <w:rPr>
          <w:rFonts w:ascii="Garamond" w:hAnsi="Garamond"/>
          <w:smallCaps/>
        </w:rPr>
        <w:t xml:space="preserve">Taylor Branch, “The Shame of College Sports,” available at </w:t>
      </w:r>
      <w:hyperlink r:id="rId36" w:history="1">
        <w:r w:rsidRPr="001F2D53">
          <w:rPr>
            <w:rStyle w:val="Hyperlink"/>
            <w:rFonts w:ascii="Garamond" w:hAnsi="Garamond"/>
            <w:smallCaps/>
          </w:rPr>
          <w:t>http://www.theatlantic.com/magazine/archive/2011/10/the-shame-of-college-sports/308643/</w:t>
        </w:r>
      </w:hyperlink>
    </w:p>
    <w:p w:rsidR="00FC7A80" w:rsidRPr="001F2D53" w:rsidRDefault="00FC7A80" w:rsidP="00A52F77">
      <w:pPr>
        <w:rPr>
          <w:rFonts w:ascii="Garamond" w:hAnsi="Garamond" w:cs="Arial"/>
          <w:sz w:val="24"/>
          <w:szCs w:val="24"/>
        </w:rPr>
      </w:pPr>
      <w:r w:rsidRPr="001F2D53">
        <w:rPr>
          <w:rFonts w:ascii="Garamond" w:hAnsi="Garamond" w:cs="Arial"/>
          <w:sz w:val="24"/>
          <w:szCs w:val="24"/>
        </w:rPr>
        <w:t xml:space="preserve">Bateman, “The Myth of the Student-Athlete Will Prevail,” available at </w:t>
      </w:r>
      <w:hyperlink r:id="rId37" w:history="1">
        <w:r w:rsidRPr="001F2D53">
          <w:rPr>
            <w:rStyle w:val="Hyperlink"/>
            <w:rFonts w:ascii="Garamond" w:hAnsi="Garamond" w:cs="Arial"/>
            <w:sz w:val="24"/>
            <w:szCs w:val="24"/>
          </w:rPr>
          <w:t>http://america.aljazeera.com/opinions/2014/4/student-athlete-mythncaacollegesports.html</w:t>
        </w:r>
      </w:hyperlink>
      <w:r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FC7A80" w:rsidRPr="001F2D53">
        <w:rPr>
          <w:rFonts w:ascii="Garamond" w:hAnsi="Garamond" w:cs="Arial"/>
          <w:sz w:val="24"/>
          <w:szCs w:val="24"/>
        </w:rPr>
        <w:t>Terrorism and the Law</w:t>
      </w:r>
    </w:p>
    <w:p w:rsidR="004D0C93"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FC7A80" w:rsidRPr="001F2D53">
        <w:rPr>
          <w:rFonts w:ascii="Garamond" w:hAnsi="Garamond" w:cs="Arial"/>
          <w:sz w:val="24"/>
          <w:szCs w:val="24"/>
        </w:rPr>
        <w:t>Hall, pp. 636-682</w:t>
      </w:r>
    </w:p>
    <w:p w:rsidR="004D0C93" w:rsidRPr="001F2D53" w:rsidRDefault="004D0C93" w:rsidP="004D0C93">
      <w:pPr>
        <w:rPr>
          <w:rFonts w:ascii="Garamond" w:hAnsi="Garamond" w:cs="Arial"/>
          <w:sz w:val="24"/>
          <w:szCs w:val="24"/>
        </w:rPr>
      </w:pPr>
      <w:r w:rsidRPr="001F2D53">
        <w:rPr>
          <w:rFonts w:ascii="Garamond" w:hAnsi="Garamond" w:cs="Arial"/>
          <w:sz w:val="24"/>
          <w:szCs w:val="24"/>
        </w:rPr>
        <w:t xml:space="preserve">USA PATRIOT Act (2001), available at </w:t>
      </w:r>
      <w:hyperlink r:id="rId38" w:history="1">
        <w:r w:rsidRPr="001F2D53">
          <w:rPr>
            <w:rStyle w:val="Hyperlink"/>
            <w:rFonts w:ascii="Garamond" w:hAnsi="Garamond" w:cs="Arial"/>
            <w:sz w:val="24"/>
            <w:szCs w:val="24"/>
          </w:rPr>
          <w:t>http://epic.org/privacy/terrorism/hr3162.html</w:t>
        </w:r>
      </w:hyperlink>
      <w:r w:rsidRPr="001F2D53">
        <w:rPr>
          <w:rFonts w:ascii="Garamond" w:hAnsi="Garamond" w:cs="Arial"/>
          <w:sz w:val="24"/>
          <w:szCs w:val="24"/>
        </w:rPr>
        <w:t xml:space="preserve"> (skim only)</w:t>
      </w:r>
    </w:p>
    <w:p w:rsidR="004D0C93" w:rsidRPr="001F2D53" w:rsidRDefault="004D0C93" w:rsidP="004D0C93">
      <w:pPr>
        <w:rPr>
          <w:rFonts w:ascii="Garamond" w:hAnsi="Garamond" w:cs="Arial"/>
          <w:sz w:val="24"/>
          <w:szCs w:val="24"/>
        </w:rPr>
      </w:pPr>
      <w:r w:rsidRPr="001F2D53">
        <w:rPr>
          <w:rFonts w:ascii="Garamond" w:hAnsi="Garamond" w:cs="Arial"/>
          <w:sz w:val="24"/>
          <w:szCs w:val="24"/>
        </w:rPr>
        <w:t xml:space="preserve">US Department of Justice, “The USA Patriot Act: Preserving Life and Liberty” available at </w:t>
      </w:r>
      <w:hyperlink r:id="rId39" w:history="1">
        <w:r w:rsidRPr="001F2D53">
          <w:rPr>
            <w:rStyle w:val="Hyperlink"/>
            <w:rFonts w:ascii="Garamond" w:hAnsi="Garamond" w:cs="Arial"/>
            <w:sz w:val="24"/>
            <w:szCs w:val="24"/>
          </w:rPr>
          <w:t>http://www.justice.gov/archive/ll/highlights.htm</w:t>
        </w:r>
      </w:hyperlink>
      <w:r w:rsidRPr="001F2D53">
        <w:rPr>
          <w:rFonts w:ascii="Garamond" w:hAnsi="Garamond" w:cs="Arial"/>
          <w:sz w:val="24"/>
          <w:szCs w:val="24"/>
        </w:rPr>
        <w:t xml:space="preserve"> </w:t>
      </w:r>
    </w:p>
    <w:p w:rsidR="00A52F77" w:rsidRPr="001F2D53" w:rsidRDefault="00FC7A80" w:rsidP="00A52F77">
      <w:pPr>
        <w:rPr>
          <w:rFonts w:ascii="Garamond" w:hAnsi="Garamond" w:cs="Arial"/>
          <w:sz w:val="24"/>
          <w:szCs w:val="24"/>
        </w:rPr>
      </w:pPr>
      <w:r w:rsidRPr="001F2D53">
        <w:rPr>
          <w:rFonts w:ascii="Garamond" w:hAnsi="Garamond" w:cs="Arial"/>
          <w:sz w:val="24"/>
          <w:szCs w:val="24"/>
        </w:rPr>
        <w:t xml:space="preserve">Case brief #9: </w:t>
      </w:r>
      <w:r w:rsidR="004D0C93" w:rsidRPr="001F2D53">
        <w:rPr>
          <w:rFonts w:ascii="Garamond" w:hAnsi="Garamond" w:cs="Arial"/>
          <w:sz w:val="24"/>
          <w:szCs w:val="24"/>
        </w:rPr>
        <w:t xml:space="preserve">Hamdi v. Rumsfeld, available </w:t>
      </w:r>
      <w:hyperlink r:id="rId40" w:history="1">
        <w:r w:rsidR="004D0C93" w:rsidRPr="001F2D53">
          <w:rPr>
            <w:rStyle w:val="Hyperlink"/>
            <w:rFonts w:ascii="Garamond" w:hAnsi="Garamond" w:cs="Arial"/>
            <w:sz w:val="24"/>
            <w:szCs w:val="24"/>
          </w:rPr>
          <w:t>http://caselaw.lp.findlaw.com/scripts/getcase.pl?court=US&amp;vol=000&amp;invol=03-6696</w:t>
        </w:r>
      </w:hyperlink>
      <w:r w:rsidR="004D0C93" w:rsidRPr="001F2D53">
        <w:rPr>
          <w:rFonts w:ascii="Garamond" w:hAnsi="Garamond" w:cs="Arial"/>
          <w:sz w:val="24"/>
          <w:szCs w:val="24"/>
        </w:rPr>
        <w:t xml:space="preserve"> </w:t>
      </w:r>
    </w:p>
    <w:p w:rsidR="00A52F77" w:rsidRPr="001F2D53" w:rsidRDefault="00A52F77" w:rsidP="00A52F77">
      <w:pPr>
        <w:rPr>
          <w:rFonts w:ascii="Garamond" w:hAnsi="Garamond" w:cs="Arial"/>
          <w:sz w:val="24"/>
          <w:szCs w:val="24"/>
        </w:rPr>
      </w:pPr>
    </w:p>
    <w:p w:rsidR="00A52F77" w:rsidRPr="0090044D" w:rsidRDefault="0090044D" w:rsidP="00A52F77">
      <w:pPr>
        <w:rPr>
          <w:rFonts w:ascii="Garamond" w:hAnsi="Garamond" w:cs="Arial"/>
          <w:i/>
          <w:sz w:val="24"/>
          <w:szCs w:val="24"/>
        </w:rPr>
      </w:pPr>
      <w:r>
        <w:rPr>
          <w:rFonts w:ascii="Garamond" w:hAnsi="Garamond" w:cs="Arial"/>
          <w:i/>
          <w:sz w:val="24"/>
          <w:szCs w:val="24"/>
        </w:rPr>
        <w:t>Week 12</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Pr="001F2D53">
        <w:rPr>
          <w:rFonts w:ascii="Garamond" w:hAnsi="Garamond" w:cs="Arial"/>
          <w:i/>
          <w:sz w:val="24"/>
          <w:szCs w:val="24"/>
        </w:rPr>
        <w:t xml:space="preserve">Bush v. Gore </w:t>
      </w:r>
      <w:r w:rsidRPr="001F2D53">
        <w:rPr>
          <w:rFonts w:ascii="Garamond" w:hAnsi="Garamond" w:cs="Arial"/>
          <w:sz w:val="24"/>
          <w:szCs w:val="24"/>
        </w:rPr>
        <w:t xml:space="preserve">and </w:t>
      </w:r>
      <w:r w:rsidR="00FC7A80" w:rsidRPr="001F2D53">
        <w:rPr>
          <w:rFonts w:ascii="Garamond" w:hAnsi="Garamond" w:cs="Arial"/>
          <w:sz w:val="24"/>
          <w:szCs w:val="24"/>
        </w:rPr>
        <w:t>Constitutional Law in the 21</w:t>
      </w:r>
      <w:r w:rsidR="00FC7A80" w:rsidRPr="001F2D53">
        <w:rPr>
          <w:rFonts w:ascii="Garamond" w:hAnsi="Garamond" w:cs="Arial"/>
          <w:sz w:val="24"/>
          <w:szCs w:val="24"/>
          <w:vertAlign w:val="superscript"/>
        </w:rPr>
        <w:t>st</w:t>
      </w:r>
      <w:r w:rsidR="00FC7A80" w:rsidRPr="001F2D53">
        <w:rPr>
          <w:rFonts w:ascii="Garamond" w:hAnsi="Garamond" w:cs="Arial"/>
          <w:sz w:val="24"/>
          <w:szCs w:val="24"/>
        </w:rPr>
        <w:t xml:space="preserve"> Century</w:t>
      </w:r>
    </w:p>
    <w:p w:rsidR="00A52F77" w:rsidRPr="001F2D53" w:rsidRDefault="004D0C93" w:rsidP="00A52F77">
      <w:pPr>
        <w:rPr>
          <w:rFonts w:ascii="Garamond" w:hAnsi="Garamond" w:cs="Arial"/>
          <w:sz w:val="24"/>
          <w:szCs w:val="24"/>
        </w:rPr>
      </w:pPr>
      <w:r w:rsidRPr="001F2D53">
        <w:rPr>
          <w:rFonts w:ascii="Garamond" w:hAnsi="Garamond" w:cs="Arial"/>
          <w:sz w:val="24"/>
          <w:szCs w:val="24"/>
        </w:rPr>
        <w:t>Case brief #10</w:t>
      </w:r>
      <w:r w:rsidR="00A52F77" w:rsidRPr="001F2D53">
        <w:rPr>
          <w:rFonts w:ascii="Garamond" w:hAnsi="Garamond" w:cs="Arial"/>
          <w:sz w:val="24"/>
          <w:szCs w:val="24"/>
        </w:rPr>
        <w:t xml:space="preserve">: </w:t>
      </w:r>
      <w:r w:rsidR="00A52F77" w:rsidRPr="001F2D53">
        <w:rPr>
          <w:rFonts w:ascii="Garamond" w:hAnsi="Garamond" w:cs="Arial"/>
          <w:i/>
          <w:sz w:val="24"/>
          <w:szCs w:val="24"/>
        </w:rPr>
        <w:t>Bush v. Gore</w:t>
      </w:r>
      <w:r w:rsidR="00A52F77" w:rsidRPr="001F2D53">
        <w:rPr>
          <w:rFonts w:ascii="Garamond" w:hAnsi="Garamond" w:cs="Arial"/>
          <w:sz w:val="24"/>
          <w:szCs w:val="24"/>
        </w:rPr>
        <w:t xml:space="preserve"> (2000) available at </w:t>
      </w:r>
      <w:hyperlink r:id="rId41" w:history="1">
        <w:r w:rsidR="00A52F77" w:rsidRPr="001F2D53">
          <w:rPr>
            <w:rStyle w:val="Hyperlink"/>
            <w:rFonts w:ascii="Garamond" w:hAnsi="Garamond" w:cs="Arial"/>
            <w:sz w:val="24"/>
            <w:szCs w:val="24"/>
          </w:rPr>
          <w:t>http://www.law.cornell.edu/supct/html/00-949.ZPC.html</w:t>
        </w:r>
      </w:hyperlink>
      <w:r w:rsidR="00A52F77" w:rsidRPr="001F2D53">
        <w:rPr>
          <w:rFonts w:ascii="Garamond" w:hAnsi="Garamond" w:cs="Arial"/>
          <w:sz w:val="24"/>
          <w:szCs w:val="24"/>
        </w:rPr>
        <w:t xml:space="preserve"> (</w:t>
      </w:r>
      <w:r w:rsidRPr="001F2D53">
        <w:rPr>
          <w:rFonts w:ascii="Garamond" w:hAnsi="Garamond" w:cs="Arial"/>
          <w:sz w:val="24"/>
          <w:szCs w:val="24"/>
        </w:rPr>
        <w:t xml:space="preserve">discuss </w:t>
      </w:r>
      <w:r w:rsidRPr="001F2D53">
        <w:rPr>
          <w:rFonts w:ascii="Garamond" w:hAnsi="Garamond" w:cs="Arial"/>
          <w:i/>
          <w:sz w:val="24"/>
          <w:szCs w:val="24"/>
        </w:rPr>
        <w:t>all</w:t>
      </w:r>
      <w:r w:rsidR="00A52F77" w:rsidRPr="001F2D53">
        <w:rPr>
          <w:rFonts w:ascii="Garamond" w:hAnsi="Garamond" w:cs="Arial"/>
          <w:sz w:val="24"/>
          <w:szCs w:val="24"/>
        </w:rPr>
        <w:t xml:space="preserve"> opinions)</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4D0C93" w:rsidRPr="001F2D53">
        <w:rPr>
          <w:rFonts w:ascii="Garamond" w:hAnsi="Garamond" w:cs="Arial"/>
          <w:sz w:val="24"/>
          <w:szCs w:val="24"/>
        </w:rPr>
        <w:t>Obamacare and Legal History in the Making</w:t>
      </w:r>
    </w:p>
    <w:p w:rsidR="004D0C93" w:rsidRPr="001F2D53" w:rsidRDefault="00A52F77" w:rsidP="004D0C93">
      <w:pPr>
        <w:rPr>
          <w:rFonts w:ascii="Garamond" w:hAnsi="Garamond" w:cs="Arial"/>
          <w:sz w:val="24"/>
          <w:szCs w:val="24"/>
        </w:rPr>
      </w:pPr>
      <w:r w:rsidRPr="001F2D53">
        <w:rPr>
          <w:rFonts w:ascii="Garamond" w:hAnsi="Garamond" w:cs="Arial"/>
          <w:sz w:val="24"/>
          <w:szCs w:val="24"/>
        </w:rPr>
        <w:t>Reading</w:t>
      </w:r>
      <w:r w:rsidR="00FC7A80" w:rsidRPr="001F2D53">
        <w:rPr>
          <w:rFonts w:ascii="Garamond" w:hAnsi="Garamond" w:cs="Arial"/>
          <w:sz w:val="24"/>
          <w:szCs w:val="24"/>
        </w:rPr>
        <w:t xml:space="preserve">: </w:t>
      </w:r>
      <w:r w:rsidR="004D0C93" w:rsidRPr="001F2D53">
        <w:rPr>
          <w:rFonts w:ascii="Garamond" w:hAnsi="Garamond" w:cs="Arial"/>
          <w:sz w:val="24"/>
          <w:szCs w:val="24"/>
        </w:rPr>
        <w:t xml:space="preserve">National Federation of Independent Business v. Sebelius, available at </w:t>
      </w:r>
      <w:hyperlink r:id="rId42" w:history="1">
        <w:r w:rsidR="004D0C93" w:rsidRPr="001F2D53">
          <w:rPr>
            <w:rStyle w:val="Hyperlink"/>
            <w:rFonts w:ascii="Garamond" w:hAnsi="Garamond" w:cs="Arial"/>
            <w:sz w:val="24"/>
            <w:szCs w:val="24"/>
          </w:rPr>
          <w:t>http://www.law.cornell.edu/supremecourt/text/11-393</w:t>
        </w:r>
      </w:hyperlink>
      <w:r w:rsidR="004D0C93" w:rsidRPr="001F2D53">
        <w:rPr>
          <w:rFonts w:ascii="Garamond" w:hAnsi="Garamond" w:cs="Arial"/>
          <w:sz w:val="24"/>
          <w:szCs w:val="24"/>
        </w:rPr>
        <w:t xml:space="preserve"> </w:t>
      </w:r>
    </w:p>
    <w:p w:rsidR="00A52F77" w:rsidRPr="001F2D53" w:rsidRDefault="004D0C93" w:rsidP="004D0C93">
      <w:pPr>
        <w:rPr>
          <w:rFonts w:ascii="Garamond" w:hAnsi="Garamond" w:cs="Arial"/>
          <w:sz w:val="24"/>
          <w:szCs w:val="24"/>
        </w:rPr>
      </w:pPr>
      <w:r w:rsidRPr="001F2D53">
        <w:rPr>
          <w:rFonts w:ascii="Garamond" w:hAnsi="Garamond" w:cs="Arial"/>
          <w:sz w:val="24"/>
          <w:szCs w:val="24"/>
        </w:rPr>
        <w:t xml:space="preserve">The Affordable Care Act (full text, but </w:t>
      </w:r>
      <w:r w:rsidRPr="001F2D53">
        <w:rPr>
          <w:rFonts w:ascii="Garamond" w:hAnsi="Garamond" w:cs="Arial"/>
          <w:i/>
          <w:sz w:val="24"/>
          <w:szCs w:val="24"/>
        </w:rPr>
        <w:t>skim</w:t>
      </w:r>
      <w:r w:rsidRPr="001F2D53">
        <w:rPr>
          <w:rFonts w:ascii="Garamond" w:hAnsi="Garamond" w:cs="Arial"/>
          <w:sz w:val="24"/>
          <w:szCs w:val="24"/>
        </w:rPr>
        <w:t xml:space="preserve">), available at </w:t>
      </w:r>
      <w:hyperlink r:id="rId43" w:history="1">
        <w:r w:rsidRPr="001F2D53">
          <w:rPr>
            <w:rStyle w:val="Hyperlink"/>
            <w:rFonts w:ascii="Garamond" w:hAnsi="Garamond" w:cs="Arial"/>
            <w:sz w:val="24"/>
            <w:szCs w:val="24"/>
          </w:rPr>
          <w:t>https://www.healthcare.gov/where-can-i-read-the-affordable-care-act/</w:t>
        </w:r>
      </w:hyperlink>
      <w:r w:rsidRPr="001F2D53">
        <w:rPr>
          <w:rFonts w:ascii="Garamond" w:hAnsi="Garamond" w:cs="Arial"/>
          <w:sz w:val="24"/>
          <w:szCs w:val="24"/>
        </w:rPr>
        <w:t xml:space="preserve"> </w:t>
      </w:r>
    </w:p>
    <w:p w:rsidR="004D0C93" w:rsidRPr="001F2D53" w:rsidRDefault="004D0C93" w:rsidP="00A52F77">
      <w:pPr>
        <w:rPr>
          <w:rFonts w:ascii="Garamond" w:hAnsi="Garamond" w:cs="Arial"/>
          <w:sz w:val="24"/>
          <w:szCs w:val="24"/>
        </w:rPr>
      </w:pPr>
    </w:p>
    <w:p w:rsidR="00A52F77" w:rsidRPr="001F2D53" w:rsidRDefault="00FC7A80" w:rsidP="00A52F77">
      <w:pPr>
        <w:rPr>
          <w:rFonts w:ascii="Garamond" w:hAnsi="Garamond" w:cs="Arial"/>
          <w:b/>
          <w:sz w:val="24"/>
          <w:szCs w:val="24"/>
        </w:rPr>
      </w:pPr>
      <w:r w:rsidRPr="001F2D53">
        <w:rPr>
          <w:rFonts w:ascii="Garamond" w:hAnsi="Garamond" w:cs="Arial"/>
          <w:b/>
          <w:sz w:val="24"/>
          <w:szCs w:val="24"/>
        </w:rPr>
        <w:t>SECOND EXAM – STUDY GUIDE DISTRIBUTED</w:t>
      </w:r>
      <w:r w:rsidR="0090044D">
        <w:rPr>
          <w:rFonts w:ascii="Garamond" w:hAnsi="Garamond" w:cs="Arial"/>
          <w:b/>
          <w:sz w:val="24"/>
          <w:szCs w:val="24"/>
        </w:rPr>
        <w:t xml:space="preserve"> AT THE BEGINNING OF WEEK 12</w:t>
      </w: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sz w:val="24"/>
          <w:szCs w:val="24"/>
        </w:rPr>
      </w:pPr>
    </w:p>
    <w:p w:rsidR="00A52F77" w:rsidRPr="001F2D53" w:rsidRDefault="00A52F77" w:rsidP="00A52F77">
      <w:pPr>
        <w:rPr>
          <w:rFonts w:ascii="Garamond" w:hAnsi="Garamond" w:cs="Arial"/>
          <w:b/>
          <w:sz w:val="24"/>
          <w:szCs w:val="24"/>
        </w:rPr>
      </w:pPr>
      <w:r w:rsidRPr="001F2D53">
        <w:rPr>
          <w:rFonts w:ascii="Garamond" w:hAnsi="Garamond" w:cs="Arial"/>
          <w:b/>
          <w:sz w:val="24"/>
          <w:szCs w:val="24"/>
        </w:rPr>
        <w:t>NO CLASS THANKSGIVING BREAK</w:t>
      </w:r>
    </w:p>
    <w:p w:rsidR="00A52F77" w:rsidRPr="001F2D53" w:rsidRDefault="00A52F77" w:rsidP="00A52F77">
      <w:pPr>
        <w:rPr>
          <w:rFonts w:ascii="Garamond" w:hAnsi="Garamond" w:cs="Arial"/>
          <w:sz w:val="24"/>
          <w:szCs w:val="24"/>
        </w:rPr>
      </w:pPr>
    </w:p>
    <w:p w:rsidR="00A52F77" w:rsidRPr="0090044D" w:rsidRDefault="0090044D" w:rsidP="00A52F77">
      <w:pPr>
        <w:rPr>
          <w:rFonts w:ascii="Garamond" w:hAnsi="Garamond" w:cs="Arial"/>
          <w:i/>
          <w:sz w:val="24"/>
          <w:szCs w:val="24"/>
        </w:rPr>
      </w:pPr>
      <w:r>
        <w:rPr>
          <w:rFonts w:ascii="Garamond" w:hAnsi="Garamond" w:cs="Arial"/>
          <w:i/>
          <w:sz w:val="24"/>
          <w:szCs w:val="24"/>
        </w:rPr>
        <w:t>Final Week</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Lecture:  </w:t>
      </w:r>
      <w:r w:rsidR="004D0C93" w:rsidRPr="001F2D53">
        <w:rPr>
          <w:rFonts w:ascii="Garamond" w:hAnsi="Garamond" w:cs="Arial"/>
          <w:sz w:val="24"/>
          <w:szCs w:val="24"/>
        </w:rPr>
        <w:t>Law School:  Is It Right For Me?</w:t>
      </w:r>
    </w:p>
    <w:p w:rsidR="00A52F77" w:rsidRPr="001F2D53" w:rsidRDefault="00A52F77" w:rsidP="00A52F77">
      <w:pPr>
        <w:rPr>
          <w:rFonts w:ascii="Garamond" w:hAnsi="Garamond" w:cs="Arial"/>
          <w:sz w:val="24"/>
          <w:szCs w:val="24"/>
        </w:rPr>
      </w:pPr>
      <w:r w:rsidRPr="001F2D53">
        <w:rPr>
          <w:rFonts w:ascii="Garamond" w:hAnsi="Garamond" w:cs="Arial"/>
          <w:sz w:val="24"/>
          <w:szCs w:val="24"/>
        </w:rPr>
        <w:t xml:space="preserve">Reading: </w:t>
      </w:r>
      <w:r w:rsidR="004D0C93" w:rsidRPr="001F2D53">
        <w:rPr>
          <w:rFonts w:ascii="Garamond" w:hAnsi="Garamond" w:cs="Arial"/>
          <w:sz w:val="24"/>
          <w:szCs w:val="24"/>
        </w:rPr>
        <w:t xml:space="preserve">Review of Brian Tamanaha’s </w:t>
      </w:r>
      <w:r w:rsidR="004D0C93" w:rsidRPr="001F2D53">
        <w:rPr>
          <w:rFonts w:ascii="Garamond" w:hAnsi="Garamond" w:cs="Arial"/>
          <w:i/>
          <w:sz w:val="24"/>
          <w:szCs w:val="24"/>
        </w:rPr>
        <w:t>Failing Law Schools</w:t>
      </w:r>
      <w:r w:rsidR="004D0C93" w:rsidRPr="001F2D53">
        <w:rPr>
          <w:rFonts w:ascii="Garamond" w:hAnsi="Garamond" w:cs="Arial"/>
          <w:sz w:val="24"/>
          <w:szCs w:val="24"/>
        </w:rPr>
        <w:t xml:space="preserve">, available at </w:t>
      </w:r>
      <w:hyperlink r:id="rId44" w:history="1">
        <w:r w:rsidR="004D0C93" w:rsidRPr="001F2D53">
          <w:rPr>
            <w:rStyle w:val="Hyperlink"/>
            <w:rFonts w:ascii="Garamond" w:hAnsi="Garamond" w:cs="Arial"/>
            <w:sz w:val="24"/>
            <w:szCs w:val="24"/>
          </w:rPr>
          <w:t>http://www.newrepublic.com/book/review/failing-law-schools-how-to-fix-legal-education-brian-tamanaha-harvard-yale</w:t>
        </w:r>
      </w:hyperlink>
      <w:r w:rsidR="004D0C93" w:rsidRPr="001F2D53">
        <w:rPr>
          <w:rFonts w:ascii="Garamond" w:hAnsi="Garamond" w:cs="Arial"/>
          <w:sz w:val="24"/>
          <w:szCs w:val="24"/>
        </w:rPr>
        <w:t xml:space="preserve"> </w:t>
      </w:r>
    </w:p>
    <w:p w:rsidR="00A52F77" w:rsidRPr="001F2D53" w:rsidRDefault="004D0C93" w:rsidP="00A52F77">
      <w:pPr>
        <w:rPr>
          <w:rFonts w:ascii="Garamond" w:hAnsi="Garamond" w:cs="Arial"/>
          <w:sz w:val="24"/>
          <w:szCs w:val="24"/>
        </w:rPr>
      </w:pPr>
      <w:r w:rsidRPr="001F2D53">
        <w:rPr>
          <w:rFonts w:ascii="Garamond" w:hAnsi="Garamond" w:cs="Arial"/>
          <w:sz w:val="24"/>
          <w:szCs w:val="24"/>
        </w:rPr>
        <w:t xml:space="preserve">David Segal, “What They Don’t Teach Law Students: Lawyering,” available at </w:t>
      </w:r>
      <w:hyperlink r:id="rId45" w:history="1">
        <w:r w:rsidRPr="001F2D53">
          <w:rPr>
            <w:rStyle w:val="Hyperlink"/>
            <w:rFonts w:ascii="Garamond" w:hAnsi="Garamond" w:cs="Arial"/>
            <w:sz w:val="24"/>
            <w:szCs w:val="24"/>
          </w:rPr>
          <w:t>http://www.nytimes.com/2011/11/20/business/after-law-school-associates-learn-to-be-lawyers.html?_r=3&amp;hp=&amp;pagewanted=all&amp;</w:t>
        </w:r>
      </w:hyperlink>
      <w:r w:rsidRPr="001F2D53">
        <w:rPr>
          <w:rFonts w:ascii="Garamond" w:hAnsi="Garamond" w:cs="Arial"/>
          <w:sz w:val="24"/>
          <w:szCs w:val="24"/>
        </w:rPr>
        <w:t xml:space="preserve"> </w:t>
      </w:r>
    </w:p>
    <w:p w:rsidR="00A52F77" w:rsidRPr="001F2D53" w:rsidRDefault="00A52F77" w:rsidP="00511318">
      <w:pPr>
        <w:rPr>
          <w:rFonts w:ascii="Garamond" w:hAnsi="Garamond" w:cs="Arial"/>
          <w:b/>
          <w:sz w:val="21"/>
          <w:szCs w:val="21"/>
        </w:rPr>
      </w:pPr>
    </w:p>
    <w:p w:rsidR="00511318" w:rsidRPr="001F2D53" w:rsidRDefault="00511318" w:rsidP="00511318">
      <w:pPr>
        <w:rPr>
          <w:rFonts w:ascii="Garamond" w:hAnsi="Garamond" w:cs="Arial"/>
          <w:b/>
          <w:sz w:val="21"/>
          <w:szCs w:val="21"/>
        </w:rPr>
      </w:pPr>
    </w:p>
    <w:p w:rsidR="002C49C4" w:rsidRPr="001F2D53" w:rsidRDefault="001E34D0" w:rsidP="00511318">
      <w:pPr>
        <w:contextualSpacing/>
        <w:rPr>
          <w:rFonts w:ascii="Garamond" w:hAnsi="Garamond"/>
          <w:b/>
          <w:smallCaps/>
        </w:rPr>
      </w:pPr>
      <w:r w:rsidRPr="001F2D53">
        <w:rPr>
          <w:rFonts w:ascii="Garamond" w:hAnsi="Garamond"/>
          <w:b/>
          <w:smallCaps/>
        </w:rPr>
        <w:t xml:space="preserve">NOTE :  </w:t>
      </w:r>
      <w:r w:rsidR="001414B5" w:rsidRPr="001F2D53">
        <w:rPr>
          <w:rFonts w:ascii="Garamond" w:hAnsi="Garamond"/>
          <w:b/>
          <w:i/>
          <w:smallCaps/>
        </w:rPr>
        <w:t>As the instructor</w:t>
      </w:r>
      <w:r w:rsidRPr="001F2D53">
        <w:rPr>
          <w:rFonts w:ascii="Garamond" w:hAnsi="Garamond"/>
          <w:b/>
          <w:i/>
          <w:smallCaps/>
        </w:rPr>
        <w:t>, I reserve the right to adjust this schedule in any way that serves the educational needs of the students enrolled in this course.  --OLB</w:t>
      </w:r>
    </w:p>
    <w:p w:rsidR="00547F8B" w:rsidRPr="001F2D53" w:rsidRDefault="00547F8B" w:rsidP="00511318">
      <w:pPr>
        <w:rPr>
          <w:rFonts w:ascii="Garamond" w:hAnsi="Garamond" w:cs="Arial"/>
          <w:color w:val="0000FF"/>
          <w:sz w:val="21"/>
          <w:szCs w:val="21"/>
        </w:rPr>
      </w:pPr>
    </w:p>
    <w:p w:rsidR="00547F8B" w:rsidRPr="001F2D53" w:rsidRDefault="00547F8B" w:rsidP="00547F8B">
      <w:pPr>
        <w:pBdr>
          <w:bottom w:val="double" w:sz="6" w:space="1" w:color="auto"/>
        </w:pBdr>
        <w:rPr>
          <w:rFonts w:ascii="Garamond" w:hAnsi="Garamond" w:cs="Arial"/>
          <w:b/>
          <w:color w:val="0000FF"/>
          <w:sz w:val="21"/>
          <w:szCs w:val="21"/>
        </w:rPr>
      </w:pPr>
    </w:p>
    <w:p w:rsidR="00547F8B" w:rsidRPr="001F2D53" w:rsidRDefault="00547F8B" w:rsidP="00547F8B">
      <w:pPr>
        <w:rPr>
          <w:rFonts w:ascii="Garamond" w:hAnsi="Garamond" w:cs="Arial"/>
          <w:b/>
          <w:color w:val="0000FF"/>
          <w:sz w:val="21"/>
          <w:szCs w:val="21"/>
        </w:rPr>
      </w:pPr>
    </w:p>
    <w:p w:rsidR="00A52F77" w:rsidRPr="001F2D53" w:rsidRDefault="00A52F77" w:rsidP="00A52F77">
      <w:pPr>
        <w:rPr>
          <w:rFonts w:ascii="Garamond" w:hAnsi="Garamond" w:cs="Arial"/>
          <w:i/>
          <w:sz w:val="21"/>
          <w:szCs w:val="21"/>
        </w:rPr>
      </w:pPr>
      <w:r w:rsidRPr="001F2D53">
        <w:rPr>
          <w:rFonts w:ascii="Garamond" w:hAnsi="Garamond" w:cs="Arial"/>
          <w:b/>
          <w:i/>
          <w:sz w:val="21"/>
          <w:szCs w:val="21"/>
        </w:rPr>
        <w:t>UTA NOTE TO STUDENTS</w:t>
      </w:r>
      <w:r w:rsidRPr="001F2D53">
        <w:rPr>
          <w:rFonts w:ascii="Garamond" w:hAnsi="Garamond" w:cs="Arial"/>
          <w:i/>
          <w:sz w:val="21"/>
          <w:szCs w:val="21"/>
        </w:rPr>
        <w:t xml:space="preserve">:  You are expected to keep track of their performance throughout the semester and seek guidance from available sources (including the instructor) if your performance drops below satisfactory levels. </w:t>
      </w:r>
      <w:r w:rsidRPr="001F2D53">
        <w:rPr>
          <w:rFonts w:ascii="Garamond" w:hAnsi="Garamond" w:cs="Arial"/>
          <w:bCs/>
          <w:i/>
          <w:sz w:val="21"/>
          <w:szCs w:val="21"/>
        </w:rPr>
        <w:t xml:space="preserve">A general rule of thumb is this: for every credit hour earned, you should spend 3 hours per week working outside of class. </w:t>
      </w:r>
      <w:r w:rsidRPr="001F2D53">
        <w:rPr>
          <w:rFonts w:ascii="Garamond" w:hAnsi="Garamond" w:cs="Arial"/>
          <w:i/>
          <w:sz w:val="21"/>
          <w:szCs w:val="21"/>
        </w:rPr>
        <w:t xml:space="preserve">Beyond the time required to attend each class meeting, you should expect to spend at least an additional </w:t>
      </w:r>
      <w:r w:rsidRPr="001F2D53">
        <w:rPr>
          <w:rFonts w:ascii="Garamond" w:hAnsi="Garamond" w:cs="Arial"/>
          <w:i/>
          <w:sz w:val="21"/>
          <w:szCs w:val="21"/>
          <w:u w:val="single"/>
        </w:rPr>
        <w:t>9</w:t>
      </w:r>
      <w:r w:rsidRPr="001F2D53">
        <w:rPr>
          <w:rFonts w:ascii="Garamond" w:hAnsi="Garamond" w:cs="Arial"/>
          <w:i/>
          <w:sz w:val="21"/>
          <w:szCs w:val="21"/>
        </w:rPr>
        <w:t xml:space="preserve"> hours per week of your own time in course-related activities, including reading required materials, completing assignments, preparing for exams, etc. </w:t>
      </w:r>
    </w:p>
    <w:p w:rsidR="00A52F77" w:rsidRPr="001F2D53" w:rsidRDefault="00A52F77" w:rsidP="00A52F77">
      <w:pPr>
        <w:rPr>
          <w:rFonts w:ascii="Garamond" w:hAnsi="Garamond" w:cs="Arial"/>
          <w:b/>
          <w:color w:val="0000FF"/>
          <w:sz w:val="21"/>
          <w:szCs w:val="21"/>
        </w:rPr>
      </w:pPr>
    </w:p>
    <w:p w:rsidR="00A52F77" w:rsidRPr="001F2D53" w:rsidRDefault="00A52F77" w:rsidP="00A52F77">
      <w:pPr>
        <w:rPr>
          <w:rFonts w:ascii="Garamond" w:hAnsi="Garamond" w:cs="Arial"/>
          <w:sz w:val="21"/>
          <w:szCs w:val="21"/>
        </w:rPr>
      </w:pPr>
      <w:r w:rsidRPr="001F2D53">
        <w:rPr>
          <w:rFonts w:ascii="Garamond" w:hAnsi="Garamond" w:cs="Arial"/>
          <w:b/>
          <w:sz w:val="21"/>
          <w:szCs w:val="21"/>
        </w:rPr>
        <w:t>Make-up Exams</w:t>
      </w:r>
      <w:r w:rsidRPr="001F2D53">
        <w:rPr>
          <w:rFonts w:ascii="Garamond" w:hAnsi="Garamond" w:cs="Arial"/>
          <w:sz w:val="21"/>
          <w:szCs w:val="21"/>
        </w:rPr>
        <w:t>: In the event of a documented medical emergency, I will schedule a make-up examination for you that will take place during office hours.</w:t>
      </w:r>
    </w:p>
    <w:p w:rsidR="00A52F77" w:rsidRPr="001F2D53" w:rsidRDefault="00A52F77" w:rsidP="00A52F77">
      <w:pPr>
        <w:rPr>
          <w:rFonts w:ascii="Garamond" w:hAnsi="Garamond" w:cs="Arial"/>
          <w:b/>
          <w:color w:val="0000FF"/>
          <w:sz w:val="21"/>
          <w:szCs w:val="21"/>
        </w:rPr>
      </w:pPr>
    </w:p>
    <w:p w:rsidR="00A52F77" w:rsidRPr="001F2D53" w:rsidRDefault="00A52F77" w:rsidP="00A52F77">
      <w:pPr>
        <w:rPr>
          <w:rFonts w:ascii="Garamond" w:hAnsi="Garamond" w:cs="Arial"/>
          <w:sz w:val="21"/>
          <w:szCs w:val="21"/>
        </w:rPr>
      </w:pPr>
      <w:r w:rsidRPr="001F2D53">
        <w:rPr>
          <w:rFonts w:ascii="Garamond" w:hAnsi="Garamond" w:cs="Arial"/>
          <w:b/>
          <w:sz w:val="21"/>
          <w:szCs w:val="21"/>
        </w:rPr>
        <w:t>Grade Grievances</w:t>
      </w:r>
      <w:r w:rsidRPr="001F2D53">
        <w:rPr>
          <w:rFonts w:ascii="Garamond" w:hAnsi="Garamond" w:cs="Arial"/>
          <w:sz w:val="21"/>
          <w:szCs w:val="21"/>
        </w:rPr>
        <w:t xml:space="preserve">:  Any appeal of a grade in this course must follow the procedures and deadlines for grade-related grievances as published in the current undergraduate catalog. For the full text of this policy, see </w:t>
      </w:r>
      <w:hyperlink r:id="rId46" w:anchor="10" w:history="1">
        <w:r w:rsidRPr="001F2D53">
          <w:rPr>
            <w:rStyle w:val="Hyperlink"/>
            <w:rFonts w:ascii="Garamond" w:hAnsi="Garamond" w:cs="Arial"/>
            <w:color w:val="auto"/>
            <w:sz w:val="21"/>
            <w:szCs w:val="21"/>
          </w:rPr>
          <w:t>http://wweb.uta.edu/catalog/content/general/academic_regulations.aspx#10</w:t>
        </w:r>
      </w:hyperlink>
      <w:r w:rsidRPr="001F2D53">
        <w:rPr>
          <w:rFonts w:ascii="Garamond" w:hAnsi="Garamond" w:cs="Arial"/>
          <w:sz w:val="21"/>
          <w:szCs w:val="21"/>
        </w:rPr>
        <w:t xml:space="preserve">.  </w:t>
      </w:r>
    </w:p>
    <w:p w:rsidR="00A52F77" w:rsidRPr="001F2D53" w:rsidRDefault="00A52F77" w:rsidP="00A52F77">
      <w:pPr>
        <w:rPr>
          <w:rFonts w:ascii="Garamond" w:hAnsi="Garamond" w:cs="Arial"/>
          <w:color w:val="0000FF"/>
          <w:sz w:val="21"/>
          <w:szCs w:val="21"/>
        </w:rPr>
      </w:pPr>
    </w:p>
    <w:p w:rsidR="00A52F77" w:rsidRPr="001F2D53" w:rsidRDefault="00A52F77" w:rsidP="00A52F77">
      <w:pPr>
        <w:pStyle w:val="NormalWeb"/>
        <w:spacing w:before="0" w:beforeAutospacing="0" w:after="0" w:afterAutospacing="0"/>
        <w:rPr>
          <w:rFonts w:ascii="Garamond" w:hAnsi="Garamond" w:cs="Arial"/>
          <w:sz w:val="21"/>
          <w:szCs w:val="21"/>
        </w:rPr>
      </w:pPr>
      <w:r w:rsidRPr="001F2D53">
        <w:rPr>
          <w:rFonts w:ascii="Garamond" w:hAnsi="Garamond" w:cs="Arial"/>
          <w:b/>
          <w:sz w:val="21"/>
          <w:szCs w:val="21"/>
        </w:rPr>
        <w:t xml:space="preserve">UTA Drop Policy: </w:t>
      </w:r>
      <w:r w:rsidRPr="001F2D53">
        <w:rPr>
          <w:rFonts w:ascii="Garamond" w:hAnsi="Garamond"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F2D53">
        <w:rPr>
          <w:rStyle w:val="Strong"/>
          <w:rFonts w:ascii="Garamond" w:hAnsi="Garamond" w:cs="Arial"/>
          <w:sz w:val="21"/>
          <w:szCs w:val="21"/>
        </w:rPr>
        <w:t>Students will not be automatically dropped for non-attendance</w:t>
      </w:r>
      <w:r w:rsidRPr="001F2D53">
        <w:rPr>
          <w:rFonts w:ascii="Garamond" w:hAnsi="Garamond"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47" w:history="1">
        <w:r w:rsidRPr="001F2D53">
          <w:rPr>
            <w:rStyle w:val="Hyperlink"/>
            <w:rFonts w:ascii="Garamond" w:hAnsi="Garamond" w:cs="Arial"/>
            <w:sz w:val="21"/>
            <w:szCs w:val="21"/>
          </w:rPr>
          <w:t>http://wweb.uta.edu/ses/fao</w:t>
        </w:r>
      </w:hyperlink>
      <w:r w:rsidRPr="001F2D53">
        <w:rPr>
          <w:rFonts w:ascii="Garamond" w:hAnsi="Garamond" w:cs="Arial"/>
          <w:sz w:val="21"/>
          <w:szCs w:val="21"/>
        </w:rPr>
        <w:t>).</w:t>
      </w:r>
    </w:p>
    <w:p w:rsidR="00A52F77" w:rsidRPr="001F2D53" w:rsidRDefault="00A52F77" w:rsidP="00A52F77">
      <w:pPr>
        <w:pStyle w:val="NormalWeb"/>
        <w:spacing w:before="0" w:beforeAutospacing="0" w:after="0" w:afterAutospacing="0"/>
        <w:rPr>
          <w:rFonts w:ascii="Garamond" w:hAnsi="Garamond" w:cs="Arial"/>
          <w:sz w:val="21"/>
          <w:szCs w:val="21"/>
        </w:rPr>
      </w:pPr>
    </w:p>
    <w:p w:rsidR="00A52F77" w:rsidRPr="001F2D53" w:rsidRDefault="00A52F77" w:rsidP="00A52F77">
      <w:pPr>
        <w:pStyle w:val="NormalWeb"/>
        <w:spacing w:before="0" w:beforeAutospacing="0" w:after="0" w:afterAutospacing="0"/>
        <w:rPr>
          <w:rFonts w:ascii="Garamond" w:hAnsi="Garamond" w:cs="Arial"/>
          <w:sz w:val="21"/>
          <w:szCs w:val="21"/>
        </w:rPr>
      </w:pPr>
      <w:r w:rsidRPr="001F2D53">
        <w:rPr>
          <w:rFonts w:ascii="Garamond" w:hAnsi="Garamond" w:cs="Arial"/>
          <w:b/>
          <w:bCs/>
          <w:sz w:val="21"/>
          <w:szCs w:val="21"/>
        </w:rPr>
        <w:t xml:space="preserve">Americans with Disabilities Act: </w:t>
      </w:r>
      <w:r w:rsidRPr="001F2D53">
        <w:rPr>
          <w:rFonts w:ascii="Garamond" w:hAnsi="Garamond" w:cs="Arial"/>
          <w:sz w:val="21"/>
          <w:szCs w:val="21"/>
        </w:rPr>
        <w:t xml:space="preserve">The University of Texas at Arlington is on record as being committed to both the spirit and letter of all federal equal opportunity legislation, including the </w:t>
      </w:r>
      <w:r w:rsidRPr="001F2D53">
        <w:rPr>
          <w:rFonts w:ascii="Garamond" w:hAnsi="Garamond" w:cs="Arial"/>
          <w:i/>
          <w:iCs/>
          <w:sz w:val="21"/>
          <w:szCs w:val="21"/>
        </w:rPr>
        <w:t>Americans with Disabilities Act (ADA)</w:t>
      </w:r>
      <w:r w:rsidRPr="001F2D53">
        <w:rPr>
          <w:rFonts w:ascii="Garamond" w:hAnsi="Garamond"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48" w:history="1">
        <w:r w:rsidRPr="001F2D53">
          <w:rPr>
            <w:rStyle w:val="Hyperlink"/>
            <w:rFonts w:ascii="Garamond" w:hAnsi="Garamond" w:cs="Arial"/>
            <w:sz w:val="21"/>
            <w:szCs w:val="21"/>
          </w:rPr>
          <w:t>www.uta.edu/disability</w:t>
        </w:r>
      </w:hyperlink>
      <w:r w:rsidRPr="001F2D53">
        <w:rPr>
          <w:rFonts w:ascii="Garamond" w:hAnsi="Garamond" w:cs="Arial"/>
          <w:sz w:val="21"/>
          <w:szCs w:val="21"/>
        </w:rPr>
        <w:t xml:space="preserve"> or by calling the Office for Students with Disabilities at (817) 272-3364.</w:t>
      </w:r>
    </w:p>
    <w:p w:rsidR="00A52F77" w:rsidRPr="001F2D53" w:rsidRDefault="00A52F77" w:rsidP="00A52F77">
      <w:pPr>
        <w:rPr>
          <w:rFonts w:ascii="Garamond" w:hAnsi="Garamond" w:cs="Arial"/>
          <w:sz w:val="21"/>
          <w:szCs w:val="21"/>
        </w:rPr>
      </w:pPr>
    </w:p>
    <w:p w:rsidR="00A52F77" w:rsidRPr="001F2D53" w:rsidRDefault="00A52F77" w:rsidP="00A52F77">
      <w:pPr>
        <w:keepNext/>
        <w:rPr>
          <w:rFonts w:ascii="Garamond" w:hAnsi="Garamond" w:cs="Arial"/>
          <w:sz w:val="21"/>
          <w:szCs w:val="21"/>
        </w:rPr>
      </w:pPr>
      <w:r w:rsidRPr="001F2D53">
        <w:rPr>
          <w:rFonts w:ascii="Garamond" w:hAnsi="Garamond" w:cs="Arial"/>
          <w:b/>
          <w:bCs/>
          <w:sz w:val="21"/>
          <w:szCs w:val="21"/>
        </w:rPr>
        <w:t xml:space="preserve">Academic Integrity: </w:t>
      </w:r>
      <w:r w:rsidRPr="001F2D53">
        <w:rPr>
          <w:rFonts w:ascii="Garamond" w:hAnsi="Garamond" w:cs="Arial"/>
          <w:sz w:val="21"/>
          <w:szCs w:val="21"/>
        </w:rPr>
        <w:t>All students enrolled in this course are expected to adhere to the UT Arlington Honor Code:</w:t>
      </w:r>
    </w:p>
    <w:p w:rsidR="00A52F77" w:rsidRPr="001F2D53" w:rsidRDefault="00A52F77" w:rsidP="00A52F77">
      <w:pPr>
        <w:keepNext/>
        <w:rPr>
          <w:rFonts w:ascii="Garamond" w:hAnsi="Garamond" w:cs="Arial"/>
          <w:sz w:val="21"/>
          <w:szCs w:val="21"/>
        </w:rPr>
      </w:pPr>
    </w:p>
    <w:p w:rsidR="00A52F77" w:rsidRPr="001F2D53" w:rsidRDefault="00A52F77" w:rsidP="00A52F77">
      <w:pPr>
        <w:pStyle w:val="Default"/>
        <w:spacing w:after="80"/>
        <w:ind w:right="-72"/>
        <w:jc w:val="both"/>
        <w:rPr>
          <w:rFonts w:ascii="Garamond" w:hAnsi="Garamond" w:cs="Arial"/>
          <w:i/>
          <w:sz w:val="21"/>
          <w:szCs w:val="21"/>
        </w:rPr>
      </w:pPr>
      <w:r w:rsidRPr="001F2D53">
        <w:rPr>
          <w:rFonts w:ascii="Garamond" w:hAnsi="Garamond" w:cs="Arial"/>
          <w:i/>
          <w:sz w:val="21"/>
          <w:szCs w:val="21"/>
        </w:rPr>
        <w:t xml:space="preserve">I pledge, on my honor, to uphold UT Arlington’s tradition of academic integrity, a tradition that values hard work and honest effort in the pursuit of academic excellence. </w:t>
      </w:r>
    </w:p>
    <w:p w:rsidR="00A52F77" w:rsidRPr="001F2D53" w:rsidRDefault="00A52F77" w:rsidP="00A52F77">
      <w:pPr>
        <w:pStyle w:val="Default"/>
        <w:spacing w:after="80"/>
        <w:ind w:right="-72"/>
        <w:jc w:val="both"/>
        <w:rPr>
          <w:rFonts w:ascii="Garamond" w:hAnsi="Garamond" w:cs="Arial"/>
          <w:i/>
          <w:sz w:val="21"/>
          <w:szCs w:val="21"/>
        </w:rPr>
      </w:pPr>
      <w:r w:rsidRPr="001F2D53">
        <w:rPr>
          <w:rFonts w:ascii="Garamond" w:hAnsi="Garamond"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52F77" w:rsidRPr="001F2D53" w:rsidRDefault="00A52F77" w:rsidP="00A52F77">
      <w:pPr>
        <w:keepNext/>
        <w:rPr>
          <w:rFonts w:ascii="Garamond" w:hAnsi="Garamond" w:cs="Arial"/>
          <w:sz w:val="21"/>
          <w:szCs w:val="21"/>
        </w:rPr>
      </w:pPr>
    </w:p>
    <w:p w:rsidR="00A52F77" w:rsidRPr="001F2D53" w:rsidRDefault="00A52F77" w:rsidP="00A52F77">
      <w:pPr>
        <w:keepNext/>
        <w:rPr>
          <w:rFonts w:ascii="Garamond" w:hAnsi="Garamond" w:cs="Arial"/>
          <w:sz w:val="21"/>
          <w:szCs w:val="21"/>
        </w:rPr>
      </w:pPr>
      <w:r w:rsidRPr="001F2D53">
        <w:rPr>
          <w:rFonts w:ascii="Garamond" w:hAnsi="Garamond" w:cs="Arial"/>
          <w:sz w:val="21"/>
          <w:szCs w:val="21"/>
        </w:rPr>
        <w:t>Violators will be disciplined in accordance with University policy, which may result in the student’s suspension or expulsion from the University.</w:t>
      </w:r>
    </w:p>
    <w:p w:rsidR="00A52F77" w:rsidRPr="001F2D53" w:rsidRDefault="00A52F77" w:rsidP="00A52F77">
      <w:pPr>
        <w:rPr>
          <w:rFonts w:ascii="Garamond" w:hAnsi="Garamond" w:cs="Arial"/>
          <w:sz w:val="21"/>
          <w:szCs w:val="21"/>
        </w:rPr>
      </w:pPr>
    </w:p>
    <w:p w:rsidR="00A52F77" w:rsidRPr="001F2D53" w:rsidRDefault="00A52F77" w:rsidP="00A52F77">
      <w:pPr>
        <w:rPr>
          <w:rFonts w:ascii="Garamond" w:hAnsi="Garamond" w:cs="Arial"/>
          <w:sz w:val="21"/>
          <w:szCs w:val="21"/>
        </w:rPr>
      </w:pPr>
      <w:r w:rsidRPr="001F2D53">
        <w:rPr>
          <w:rFonts w:ascii="Garamond" w:hAnsi="Garamond" w:cs="Arial"/>
          <w:b/>
          <w:bCs/>
          <w:sz w:val="21"/>
          <w:szCs w:val="21"/>
        </w:rPr>
        <w:t>Student Support Services</w:t>
      </w:r>
      <w:r w:rsidRPr="001F2D53">
        <w:rPr>
          <w:rFonts w:ascii="Garamond" w:hAnsi="Garamond" w:cs="Arial"/>
          <w:sz w:val="21"/>
          <w:szCs w:val="21"/>
        </w:rPr>
        <w:t>:</w:t>
      </w:r>
      <w:r w:rsidRPr="001F2D53">
        <w:rPr>
          <w:rFonts w:ascii="Garamond" w:hAnsi="Garamond" w:cs="Arial"/>
          <w:b/>
          <w:bCs/>
          <w:sz w:val="21"/>
          <w:szCs w:val="21"/>
        </w:rPr>
        <w:t xml:space="preserve"> </w:t>
      </w:r>
      <w:r w:rsidRPr="001F2D53">
        <w:rPr>
          <w:rFonts w:ascii="Garamond" w:hAnsi="Garamond"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49" w:history="1">
        <w:r w:rsidRPr="001F2D53">
          <w:rPr>
            <w:rStyle w:val="Hyperlink"/>
            <w:rFonts w:ascii="Garamond" w:hAnsi="Garamond" w:cs="Arial"/>
            <w:sz w:val="21"/>
            <w:szCs w:val="21"/>
          </w:rPr>
          <w:t>resources@uta.edu</w:t>
        </w:r>
      </w:hyperlink>
      <w:r w:rsidRPr="001F2D53">
        <w:rPr>
          <w:rFonts w:ascii="Garamond" w:hAnsi="Garamond" w:cs="Arial"/>
          <w:sz w:val="21"/>
          <w:szCs w:val="21"/>
        </w:rPr>
        <w:t xml:space="preserve">, or view the information at </w:t>
      </w:r>
      <w:hyperlink r:id="rId50" w:history="1">
        <w:r w:rsidRPr="001F2D53">
          <w:rPr>
            <w:rStyle w:val="Hyperlink"/>
            <w:rFonts w:ascii="Garamond" w:hAnsi="Garamond" w:cs="Arial"/>
            <w:sz w:val="21"/>
            <w:szCs w:val="21"/>
          </w:rPr>
          <w:t>www.uta.edu/resources</w:t>
        </w:r>
      </w:hyperlink>
      <w:r w:rsidRPr="001F2D53">
        <w:rPr>
          <w:rFonts w:ascii="Garamond" w:hAnsi="Garamond" w:cs="Arial"/>
          <w:sz w:val="21"/>
          <w:szCs w:val="21"/>
        </w:rPr>
        <w:t>.</w:t>
      </w:r>
    </w:p>
    <w:p w:rsidR="00A52F77" w:rsidRPr="001F2D53" w:rsidRDefault="00A52F77" w:rsidP="00A52F77">
      <w:pPr>
        <w:rPr>
          <w:rFonts w:ascii="Garamond" w:hAnsi="Garamond" w:cs="Arial"/>
          <w:b/>
          <w:sz w:val="21"/>
          <w:szCs w:val="21"/>
        </w:rPr>
      </w:pPr>
    </w:p>
    <w:p w:rsidR="00A52F77" w:rsidRPr="001F2D53" w:rsidRDefault="00A52F77" w:rsidP="00A52F77">
      <w:pPr>
        <w:rPr>
          <w:rFonts w:ascii="Garamond" w:hAnsi="Garamond" w:cs="Arial"/>
          <w:b/>
          <w:sz w:val="21"/>
          <w:szCs w:val="21"/>
        </w:rPr>
      </w:pPr>
    </w:p>
    <w:p w:rsidR="00A52F77" w:rsidRPr="001F2D53" w:rsidRDefault="00A52F77" w:rsidP="00A52F77">
      <w:pPr>
        <w:rPr>
          <w:rFonts w:ascii="Garamond" w:hAnsi="Garamond" w:cs="Arial"/>
          <w:sz w:val="21"/>
          <w:szCs w:val="21"/>
        </w:rPr>
      </w:pPr>
      <w:r w:rsidRPr="001F2D53">
        <w:rPr>
          <w:rFonts w:ascii="Garamond" w:hAnsi="Garamond" w:cs="Arial"/>
          <w:b/>
          <w:sz w:val="21"/>
          <w:szCs w:val="21"/>
        </w:rPr>
        <w:t xml:space="preserve">Electronic Communication: </w:t>
      </w:r>
      <w:r w:rsidRPr="001F2D53">
        <w:rPr>
          <w:rFonts w:ascii="Garamond" w:hAnsi="Garamond"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1" w:history="1">
        <w:r w:rsidRPr="001F2D53">
          <w:rPr>
            <w:rStyle w:val="Hyperlink"/>
            <w:rFonts w:ascii="Garamond" w:hAnsi="Garamond" w:cs="Arial"/>
            <w:sz w:val="21"/>
            <w:szCs w:val="21"/>
          </w:rPr>
          <w:t>http://www.uta.edu/oit/cs/email/mavmail.php</w:t>
        </w:r>
      </w:hyperlink>
      <w:r w:rsidRPr="001F2D53">
        <w:rPr>
          <w:rFonts w:ascii="Garamond" w:hAnsi="Garamond" w:cs="Arial"/>
          <w:sz w:val="21"/>
          <w:szCs w:val="21"/>
        </w:rPr>
        <w:t>.</w:t>
      </w:r>
    </w:p>
    <w:p w:rsidR="00A52F77" w:rsidRPr="001F2D53" w:rsidRDefault="00A52F77" w:rsidP="00A52F77">
      <w:pPr>
        <w:rPr>
          <w:rFonts w:ascii="Garamond" w:hAnsi="Garamond" w:cs="Arial"/>
          <w:sz w:val="21"/>
          <w:szCs w:val="21"/>
        </w:rPr>
      </w:pPr>
    </w:p>
    <w:p w:rsidR="00A52F77" w:rsidRPr="001F2D53" w:rsidRDefault="00A52F77" w:rsidP="00A52F77">
      <w:pPr>
        <w:autoSpaceDE w:val="0"/>
        <w:autoSpaceDN w:val="0"/>
        <w:adjustRightInd w:val="0"/>
        <w:rPr>
          <w:rFonts w:ascii="Garamond" w:hAnsi="Garamond" w:cs="Arial"/>
          <w:bCs/>
          <w:sz w:val="21"/>
          <w:szCs w:val="21"/>
        </w:rPr>
      </w:pPr>
      <w:r w:rsidRPr="001F2D53">
        <w:rPr>
          <w:rFonts w:ascii="Garamond" w:hAnsi="Garamond" w:cs="Arial"/>
          <w:b/>
          <w:sz w:val="21"/>
          <w:szCs w:val="21"/>
        </w:rPr>
        <w:t xml:space="preserve">Student Feedback Survey: </w:t>
      </w:r>
      <w:r w:rsidRPr="001F2D53">
        <w:rPr>
          <w:rFonts w:ascii="Garamond" w:hAnsi="Garamond"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2" w:history="1">
        <w:r w:rsidRPr="001F2D53">
          <w:rPr>
            <w:rStyle w:val="Hyperlink"/>
            <w:rFonts w:ascii="Garamond" w:hAnsi="Garamond" w:cs="Arial"/>
            <w:bCs/>
            <w:sz w:val="21"/>
            <w:szCs w:val="21"/>
          </w:rPr>
          <w:t>http://www.uta.edu/sfs</w:t>
        </w:r>
      </w:hyperlink>
      <w:r w:rsidRPr="001F2D53">
        <w:rPr>
          <w:rFonts w:ascii="Garamond" w:hAnsi="Garamond" w:cs="Arial"/>
          <w:bCs/>
          <w:sz w:val="21"/>
          <w:szCs w:val="21"/>
        </w:rPr>
        <w:t>.</w:t>
      </w:r>
    </w:p>
    <w:p w:rsidR="00A52F77" w:rsidRPr="001F2D53" w:rsidRDefault="00A52F77" w:rsidP="00A52F77">
      <w:pPr>
        <w:autoSpaceDE w:val="0"/>
        <w:autoSpaceDN w:val="0"/>
        <w:adjustRightInd w:val="0"/>
        <w:rPr>
          <w:rFonts w:ascii="Garamond" w:hAnsi="Garamond" w:cs="Arial"/>
          <w:bCs/>
          <w:sz w:val="21"/>
          <w:szCs w:val="21"/>
        </w:rPr>
      </w:pPr>
    </w:p>
    <w:p w:rsidR="00A52F77" w:rsidRPr="001F2D53" w:rsidRDefault="00A52F77" w:rsidP="00A52F77">
      <w:pPr>
        <w:rPr>
          <w:rFonts w:ascii="Garamond" w:hAnsi="Garamond" w:cs="Arial"/>
          <w:sz w:val="21"/>
          <w:szCs w:val="21"/>
        </w:rPr>
      </w:pPr>
      <w:r w:rsidRPr="001F2D53">
        <w:rPr>
          <w:rFonts w:ascii="Garamond" w:hAnsi="Garamond" w:cs="Arial"/>
          <w:b/>
          <w:bCs/>
          <w:sz w:val="21"/>
          <w:szCs w:val="21"/>
        </w:rPr>
        <w:t>Emergency Exit Procedures</w:t>
      </w:r>
      <w:r w:rsidRPr="001F2D53">
        <w:rPr>
          <w:rFonts w:ascii="Garamond" w:hAnsi="Garamond" w:cs="Arial"/>
          <w:b/>
          <w:bCs/>
          <w:color w:val="FF0000"/>
          <w:sz w:val="21"/>
          <w:szCs w:val="21"/>
        </w:rPr>
        <w:t>:</w:t>
      </w:r>
      <w:r w:rsidRPr="001F2D53">
        <w:rPr>
          <w:rFonts w:ascii="Garamond" w:hAnsi="Garamond" w:cs="Arial"/>
          <w:bCs/>
          <w:sz w:val="21"/>
          <w:szCs w:val="21"/>
        </w:rPr>
        <w:t xml:space="preserve"> </w:t>
      </w:r>
      <w:r w:rsidRPr="001F2D53">
        <w:rPr>
          <w:rFonts w:ascii="Garamond" w:hAnsi="Garamond"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52F77" w:rsidRPr="001F2D53" w:rsidRDefault="00A52F77" w:rsidP="00A52F77">
      <w:pPr>
        <w:autoSpaceDE w:val="0"/>
        <w:autoSpaceDN w:val="0"/>
        <w:adjustRightInd w:val="0"/>
        <w:rPr>
          <w:rFonts w:ascii="Garamond" w:hAnsi="Garamond" w:cs="Arial"/>
          <w:sz w:val="21"/>
          <w:szCs w:val="21"/>
        </w:rPr>
      </w:pPr>
    </w:p>
    <w:p w:rsidR="00BC550F" w:rsidRPr="001F2D53" w:rsidRDefault="00A52F77" w:rsidP="00547F8B">
      <w:pPr>
        <w:rPr>
          <w:rFonts w:ascii="Garamond" w:hAnsi="Garamond" w:cs="Arial"/>
          <w:sz w:val="21"/>
          <w:szCs w:val="21"/>
        </w:rPr>
      </w:pPr>
      <w:r w:rsidRPr="001F2D53">
        <w:rPr>
          <w:rFonts w:ascii="Garamond" w:hAnsi="Garamond" w:cs="Arial"/>
          <w:b/>
          <w:bCs/>
          <w:sz w:val="21"/>
          <w:szCs w:val="21"/>
        </w:rPr>
        <w:t xml:space="preserve">Final Review Week: </w:t>
      </w:r>
      <w:r w:rsidRPr="001F2D53">
        <w:rPr>
          <w:rFonts w:ascii="Garamond" w:hAnsi="Garamond"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2D53">
        <w:rPr>
          <w:rFonts w:ascii="Garamond" w:hAnsi="Garamond" w:cs="Arial"/>
          <w:i/>
          <w:sz w:val="21"/>
          <w:szCs w:val="21"/>
        </w:rPr>
        <w:t>unless specified in the class syllabus</w:t>
      </w:r>
      <w:r w:rsidRPr="001F2D53">
        <w:rPr>
          <w:rFonts w:ascii="Garamond" w:hAnsi="Garamond" w:cs="Arial"/>
          <w:sz w:val="21"/>
          <w:szCs w:val="21"/>
        </w:rPr>
        <w:t xml:space="preserve">. </w:t>
      </w:r>
    </w:p>
    <w:sectPr w:rsidR="00BC550F" w:rsidRPr="001F2D53" w:rsidSect="00BC550F">
      <w:footerReference w:type="even" r:id="rId53"/>
      <w:footerReference w:type="default" r:id="rId5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1B" w:rsidRDefault="0006011B" w:rsidP="000C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11B" w:rsidRDefault="0006011B"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1B" w:rsidRDefault="0006011B" w:rsidP="000C6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44D">
      <w:rPr>
        <w:rStyle w:val="PageNumber"/>
        <w:noProof/>
      </w:rPr>
      <w:t>5</w:t>
    </w:r>
    <w:r>
      <w:rPr>
        <w:rStyle w:val="PageNumber"/>
      </w:rPr>
      <w:fldChar w:fldCharType="end"/>
    </w:r>
  </w:p>
  <w:p w:rsidR="0006011B" w:rsidRDefault="0006011B" w:rsidP="00870D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EE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2"/>
  </w:num>
  <w:num w:numId="5">
    <w:abstractNumId w:val="8"/>
  </w:num>
  <w:num w:numId="6">
    <w:abstractNumId w:val="7"/>
  </w:num>
  <w:num w:numId="7">
    <w:abstractNumId w:val="0"/>
  </w:num>
  <w:num w:numId="8">
    <w:abstractNumId w:val="11"/>
  </w:num>
  <w:num w:numId="9">
    <w:abstractNumId w:val="10"/>
  </w:num>
  <w:num w:numId="10">
    <w:abstractNumId w:val="9"/>
  </w:num>
  <w:num w:numId="11">
    <w:abstractNumId w:val="4"/>
  </w:num>
  <w:num w:numId="12">
    <w:abstractNumId w:val="15"/>
  </w:num>
  <w:num w:numId="13">
    <w:abstractNumId w:val="6"/>
  </w:num>
  <w:num w:numId="14">
    <w:abstractNumId w:val="5"/>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47F8B"/>
    <w:rsid w:val="00007359"/>
    <w:rsid w:val="0006011B"/>
    <w:rsid w:val="00075424"/>
    <w:rsid w:val="000814BF"/>
    <w:rsid w:val="000C62EA"/>
    <w:rsid w:val="000E312B"/>
    <w:rsid w:val="000F1B19"/>
    <w:rsid w:val="001414B5"/>
    <w:rsid w:val="00154C1D"/>
    <w:rsid w:val="00164C74"/>
    <w:rsid w:val="00177C13"/>
    <w:rsid w:val="001E34D0"/>
    <w:rsid w:val="001F2D53"/>
    <w:rsid w:val="00222E7F"/>
    <w:rsid w:val="002A0F7E"/>
    <w:rsid w:val="002A6A34"/>
    <w:rsid w:val="002B3510"/>
    <w:rsid w:val="002C49C4"/>
    <w:rsid w:val="002D4815"/>
    <w:rsid w:val="002E6376"/>
    <w:rsid w:val="002E7976"/>
    <w:rsid w:val="0044549E"/>
    <w:rsid w:val="004A033E"/>
    <w:rsid w:val="004D0C93"/>
    <w:rsid w:val="004D7925"/>
    <w:rsid w:val="00511318"/>
    <w:rsid w:val="00542F2E"/>
    <w:rsid w:val="005446C9"/>
    <w:rsid w:val="00547F8B"/>
    <w:rsid w:val="005643E2"/>
    <w:rsid w:val="005C3DBF"/>
    <w:rsid w:val="006F2D8D"/>
    <w:rsid w:val="00703DBC"/>
    <w:rsid w:val="00737F14"/>
    <w:rsid w:val="007A7052"/>
    <w:rsid w:val="007B16F8"/>
    <w:rsid w:val="00832BF4"/>
    <w:rsid w:val="00854D0D"/>
    <w:rsid w:val="00855D40"/>
    <w:rsid w:val="0086148A"/>
    <w:rsid w:val="008619C2"/>
    <w:rsid w:val="00870D6B"/>
    <w:rsid w:val="008C01B5"/>
    <w:rsid w:val="0090044D"/>
    <w:rsid w:val="0098377B"/>
    <w:rsid w:val="009C6120"/>
    <w:rsid w:val="009D21C8"/>
    <w:rsid w:val="00A52F77"/>
    <w:rsid w:val="00A567CE"/>
    <w:rsid w:val="00AE49D8"/>
    <w:rsid w:val="00AF7202"/>
    <w:rsid w:val="00B04BA4"/>
    <w:rsid w:val="00B774D3"/>
    <w:rsid w:val="00BC550F"/>
    <w:rsid w:val="00C40273"/>
    <w:rsid w:val="00CC696C"/>
    <w:rsid w:val="00D450F7"/>
    <w:rsid w:val="00D70CB1"/>
    <w:rsid w:val="00E46191"/>
    <w:rsid w:val="00E6688A"/>
    <w:rsid w:val="00E77772"/>
    <w:rsid w:val="00E94A5E"/>
    <w:rsid w:val="00F000EB"/>
    <w:rsid w:val="00F91A58"/>
    <w:rsid w:val="00FC7A80"/>
    <w:rsid w:val="00FD06B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iPriority w:val="99"/>
    <w:unhideWhenUsed/>
    <w:rsid w:val="00547F8B"/>
    <w:pPr>
      <w:tabs>
        <w:tab w:val="center" w:pos="4680"/>
        <w:tab w:val="right" w:pos="9360"/>
      </w:tabs>
    </w:pPr>
  </w:style>
  <w:style w:type="character" w:customStyle="1" w:styleId="FooterChar">
    <w:name w:val="Footer Char"/>
    <w:basedOn w:val="DefaultParagraphFont"/>
    <w:link w:val="Footer"/>
    <w:uiPriority w:val="99"/>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 w:type="character" w:customStyle="1" w:styleId="pslongeditbox">
    <w:name w:val="pslongeditbox"/>
    <w:rsid w:val="00A52F77"/>
  </w:style>
  <w:style w:type="paragraph" w:styleId="ListParagraph">
    <w:name w:val="List Paragraph"/>
    <w:basedOn w:val="Normal"/>
    <w:uiPriority w:val="99"/>
    <w:qFormat/>
    <w:rsid w:val="00A52F77"/>
    <w:pPr>
      <w:spacing w:after="200" w:line="276" w:lineRule="auto"/>
      <w:ind w:left="720"/>
      <w:contextualSpacing/>
    </w:pPr>
    <w:rPr>
      <w:rFonts w:eastAsia="Times New Roman"/>
      <w:lang w:eastAsia="en-US"/>
    </w:rPr>
  </w:style>
  <w:style w:type="character" w:customStyle="1" w:styleId="fonttastic">
    <w:name w:val="fonttastic"/>
    <w:rsid w:val="00A52F77"/>
  </w:style>
</w:styles>
</file>

<file path=word/webSettings.xml><?xml version="1.0" encoding="utf-8"?>
<w:webSettings xmlns:r="http://schemas.openxmlformats.org/officeDocument/2006/relationships" xmlns:w="http://schemas.openxmlformats.org/wordprocessingml/2006/main">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axfoundation.org/sites/taxfoundation.org/files/docs/fed_individual_rate_history_adjusted.pdf" TargetMode="External"/><Relationship Id="rId14" Type="http://schemas.openxmlformats.org/officeDocument/2006/relationships/hyperlink" Target="http://www.law.cornell.edu/supct/html/99-138.ZO.html" TargetMode="External"/><Relationship Id="rId15" Type="http://schemas.openxmlformats.org/officeDocument/2006/relationships/hyperlink" Target="http://www.law.cornell.edu/supremecourt/text/304/144" TargetMode="External"/><Relationship Id="rId16" Type="http://schemas.openxmlformats.org/officeDocument/2006/relationships/hyperlink" Target="http://www.law.cornell.edu/supremecourt/text/384/436" TargetMode="External"/><Relationship Id="rId17" Type="http://schemas.openxmlformats.org/officeDocument/2006/relationships/hyperlink" Target="http://www.law.cornell.edu/supremecourt/text/274/200" TargetMode="External"/><Relationship Id="rId18" Type="http://schemas.openxmlformats.org/officeDocument/2006/relationships/hyperlink" Target="https://nplusonemag.com/issue-13/politics/raise-the-crime-rate/" TargetMode="External"/><Relationship Id="rId19" Type="http://schemas.openxmlformats.org/officeDocument/2006/relationships/hyperlink" Target="http://www.law.cornell.edu/supremecourt/text/497/261" TargetMode="External"/><Relationship Id="rId50" Type="http://schemas.openxmlformats.org/officeDocument/2006/relationships/hyperlink" Target="http://www.uta.edu/resources" TargetMode="External"/><Relationship Id="rId51" Type="http://schemas.openxmlformats.org/officeDocument/2006/relationships/hyperlink" Target="http://www.uta.edu/oit/cs/email/mavmail.php" TargetMode="External"/><Relationship Id="rId52" Type="http://schemas.openxmlformats.org/officeDocument/2006/relationships/hyperlink" Target="http://www.uta.edu/sfs"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caselaw.lp.findlaw.com/scripts/getcase.pl?court=US&amp;vol=000&amp;invol=03-6696" TargetMode="External"/><Relationship Id="rId41" Type="http://schemas.openxmlformats.org/officeDocument/2006/relationships/hyperlink" Target="http://www.law.cornell.edu/supct/html/00-949.ZPC.html" TargetMode="External"/><Relationship Id="rId42" Type="http://schemas.openxmlformats.org/officeDocument/2006/relationships/hyperlink" Target="http://www.law.cornell.edu/supremecourt/text/11-393" TargetMode="External"/><Relationship Id="rId43" Type="http://schemas.openxmlformats.org/officeDocument/2006/relationships/hyperlink" Target="https://www.healthcare.gov/where-can-i-read-the-affordable-care-act/" TargetMode="External"/><Relationship Id="rId44" Type="http://schemas.openxmlformats.org/officeDocument/2006/relationships/hyperlink" Target="http://www.newrepublic.com/book/review/failing-law-schools-how-to-fix-legal-education-brian-tamanaha-harvard-yale" TargetMode="External"/><Relationship Id="rId45" Type="http://schemas.openxmlformats.org/officeDocument/2006/relationships/hyperlink" Target="http://www.nytimes.com/2011/11/20/business/after-law-school-associates-learn-to-be-lawyers.html?_r=3&amp;hp=&amp;pagewanted=all&amp;" TargetMode="External"/><Relationship Id="rId46" Type="http://schemas.openxmlformats.org/officeDocument/2006/relationships/hyperlink" Target="http://wweb.uta.edu/catalog/content/general/academic_regulations.aspx" TargetMode="External"/><Relationship Id="rId47" Type="http://schemas.openxmlformats.org/officeDocument/2006/relationships/hyperlink" Target="http://wweb.uta.edu/ses/fao" TargetMode="External"/><Relationship Id="rId48" Type="http://schemas.openxmlformats.org/officeDocument/2006/relationships/hyperlink" Target="http://www.uta.edu/disability" TargetMode="External"/><Relationship Id="rId4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liverbateman.com" TargetMode="External"/><Relationship Id="rId6" Type="http://schemas.openxmlformats.org/officeDocument/2006/relationships/hyperlink" Target="http://www.law.cornell.edu/wex/critical_legal_theory" TargetMode="External"/><Relationship Id="rId7" Type="http://schemas.openxmlformats.org/officeDocument/2006/relationships/hyperlink" Target="http://teachingamericanhistory.org/library/index.asp?document=1438" TargetMode="External"/><Relationship Id="rId8" Type="http://schemas.openxmlformats.org/officeDocument/2006/relationships/hyperlink" Target="http://alh.houseofrussell.com/docs/hutcheson.html" TargetMode="External"/><Relationship Id="rId9" Type="http://schemas.openxmlformats.org/officeDocument/2006/relationships/hyperlink" Target="http://pscfiles.tamu.edu/links/div-com/bell-interest%20convergence.pdf" TargetMode="External"/><Relationship Id="rId30" Type="http://schemas.openxmlformats.org/officeDocument/2006/relationships/hyperlink" Target="http://www.law.cornell.edu/supct/html/02-102.ZS.html" TargetMode="External"/><Relationship Id="rId31" Type="http://schemas.openxmlformats.org/officeDocument/2006/relationships/hyperlink" Target="http://news.findlaw.com/cnn/docs/conlaw/goodridge111803opn.pdf" TargetMode="External"/><Relationship Id="rId32" Type="http://schemas.openxmlformats.org/officeDocument/2006/relationships/hyperlink" Target="http://supreme.justia.com/cases/federal/us/249/47/case.html" TargetMode="External"/><Relationship Id="rId33" Type="http://schemas.openxmlformats.org/officeDocument/2006/relationships/hyperlink" Target="http://supreme.justia.com/cases/federal/us/250/616/case.html" TargetMode="External"/><Relationship Id="rId34" Type="http://schemas.openxmlformats.org/officeDocument/2006/relationships/hyperlink" Target="http://www.supremecourt.gov/opinions/13pdf/13-354_olp1.pdf" TargetMode="External"/><Relationship Id="rId35" Type="http://schemas.openxmlformats.org/officeDocument/2006/relationships/hyperlink" Target="http://america.aljazeera.com/opinions/2014/6/online-threats-internetfirstamendmentfacebooksupremecourt.html" TargetMode="External"/><Relationship Id="rId36" Type="http://schemas.openxmlformats.org/officeDocument/2006/relationships/hyperlink" Target="http://www.theatlantic.com/magazine/archive/2011/10/the-shame-of-college-sports/308643/" TargetMode="External"/><Relationship Id="rId37" Type="http://schemas.openxmlformats.org/officeDocument/2006/relationships/hyperlink" Target="http://america.aljazeera.com/opinions/2014/4/student-athlete-mythncaacollegesports.html" TargetMode="External"/><Relationship Id="rId38" Type="http://schemas.openxmlformats.org/officeDocument/2006/relationships/hyperlink" Target="http://epic.org/privacy/terrorism/hr3162.html" TargetMode="External"/><Relationship Id="rId39" Type="http://schemas.openxmlformats.org/officeDocument/2006/relationships/hyperlink" Target="http://www.justice.gov/archive/ll/highlights.htm" TargetMode="External"/><Relationship Id="rId20" Type="http://schemas.openxmlformats.org/officeDocument/2006/relationships/hyperlink" Target="http://www.theatlantic.com/magazine/archive/2011/09/the-secret-history-of-guns/308608/" TargetMode="External"/><Relationship Id="rId21" Type="http://schemas.openxmlformats.org/officeDocument/2006/relationships/hyperlink" Target="http://www.snagfilms.com/films/title/advise_and_dissent" TargetMode="External"/><Relationship Id="rId22" Type="http://schemas.openxmlformats.org/officeDocument/2006/relationships/hyperlink" Target="http://www.americanrhetoric.com/speeches/patrickbuchanan1992rnc.htm" TargetMode="External"/><Relationship Id="rId23" Type="http://schemas.openxmlformats.org/officeDocument/2006/relationships/hyperlink" Target="http://www.americanrhetoric.com/speeches/jessejackson1984dnc.htm" TargetMode="External"/><Relationship Id="rId24" Type="http://schemas.openxmlformats.org/officeDocument/2006/relationships/hyperlink" Target="http://xroads.virginia.edu/~HYPER/DETOC/assoc/bowling.html" TargetMode="External"/><Relationship Id="rId25" Type="http://schemas.openxmlformats.org/officeDocument/2006/relationships/hyperlink" Target="http://supreme.justia.com/cases/federal/us/410/113/case.html" TargetMode="External"/><Relationship Id="rId26" Type="http://schemas.openxmlformats.org/officeDocument/2006/relationships/hyperlink" Target="http://mic.com/articles/94724/why-supreme-court-justices-should-have-to-run-for-office" TargetMode="External"/><Relationship Id="rId27" Type="http://schemas.openxmlformats.org/officeDocument/2006/relationships/hyperlink" Target="http://supreme.justia.com/cases/federal/us/505/833/case.html" TargetMode="External"/><Relationship Id="rId28" Type="http://schemas.openxmlformats.org/officeDocument/2006/relationships/hyperlink" Target="https://www.youtube.com/watch?v=G3n-Sa0B2s8" TargetMode="External"/><Relationship Id="rId29" Type="http://schemas.openxmlformats.org/officeDocument/2006/relationships/hyperlink" Target="http://caselaw.lp.findlaw.com/scripts/getcase.pl?court=US&amp;vol=478&amp;invol=186" TargetMode="External"/><Relationship Id="rId10" Type="http://schemas.openxmlformats.org/officeDocument/2006/relationships/hyperlink" Target="http://www.law.cornell.edu/supremecourt/text/305/337" TargetMode="External"/><Relationship Id="rId11" Type="http://schemas.openxmlformats.org/officeDocument/2006/relationships/hyperlink" Target="http://www.law.cornell.edu/supremecourt/text/157/429" TargetMode="External"/><Relationship Id="rId12" Type="http://schemas.openxmlformats.org/officeDocument/2006/relationships/hyperlink" Target="http://www.law.cornell.edu/constitution/amendmentx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3123</Words>
  <Characters>17804</Characters>
  <Application>Microsoft Macintosh Word</Application>
  <DocSecurity>0</DocSecurity>
  <Lines>148</Lines>
  <Paragraphs>35</Paragraphs>
  <ScaleCrop>false</ScaleCrop>
  <Company>University of Texas at Arlington</Company>
  <LinksUpToDate>false</LinksUpToDate>
  <CharactersWithSpaces>21864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4</cp:revision>
  <cp:lastPrinted>2012-08-24T04:12:00Z</cp:lastPrinted>
  <dcterms:created xsi:type="dcterms:W3CDTF">2015-08-27T19:18:00Z</dcterms:created>
  <dcterms:modified xsi:type="dcterms:W3CDTF">2015-08-27T19:23:00Z</dcterms:modified>
</cp:coreProperties>
</file>