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00F225F9">
        <w:rPr>
          <w:rFonts w:ascii="Arial" w:hAnsi="Arial" w:cs="Arial"/>
          <w:b/>
          <w:sz w:val="21"/>
          <w:szCs w:val="21"/>
        </w:rPr>
        <w:t>/5323</w:t>
      </w:r>
      <w:r w:rsidRPr="0016052E">
        <w:rPr>
          <w:rFonts w:ascii="Arial" w:hAnsi="Arial" w:cs="Arial"/>
          <w:b/>
          <w:sz w:val="21"/>
          <w:szCs w:val="21"/>
        </w:rPr>
        <w:t xml:space="preserve">: </w:t>
      </w:r>
      <w:r>
        <w:rPr>
          <w:rFonts w:ascii="Arial" w:hAnsi="Arial" w:cs="Arial"/>
          <w:sz w:val="21"/>
          <w:szCs w:val="21"/>
        </w:rPr>
        <w:t>Motor Control and Learning</w:t>
      </w:r>
    </w:p>
    <w:p w:rsidR="00CA3FFF" w:rsidRDefault="00F225F9" w:rsidP="00CA3FFF">
      <w:pPr>
        <w:jc w:val="center"/>
        <w:rPr>
          <w:rFonts w:ascii="Arial" w:hAnsi="Arial" w:cs="Arial"/>
          <w:sz w:val="21"/>
          <w:szCs w:val="21"/>
        </w:rPr>
      </w:pPr>
      <w:r>
        <w:rPr>
          <w:rFonts w:ascii="Arial" w:hAnsi="Arial" w:cs="Arial"/>
          <w:sz w:val="21"/>
          <w:szCs w:val="21"/>
        </w:rPr>
        <w:t>Spring 2016</w:t>
      </w:r>
    </w:p>
    <w:p w:rsidR="00970693" w:rsidRPr="0016052E" w:rsidRDefault="00970693" w:rsidP="00CA3FFF">
      <w:pPr>
        <w:jc w:val="center"/>
        <w:rPr>
          <w:rFonts w:ascii="Arial" w:hAnsi="Arial" w:cs="Arial"/>
          <w:sz w:val="21"/>
          <w:szCs w:val="21"/>
        </w:rPr>
      </w:pP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6" w:history="1">
        <w:r w:rsidR="00A87CCC" w:rsidRPr="00121C5D">
          <w:rPr>
            <w:rStyle w:val="Hyperlink"/>
            <w:rFonts w:ascii="Arial" w:hAnsi="Arial" w:cs="Arial"/>
            <w:sz w:val="21"/>
            <w:szCs w:val="21"/>
          </w:rPr>
          <w:t>cacola@uta.edu</w:t>
        </w:r>
      </w:hyperlink>
    </w:p>
    <w:p w:rsidR="00A87CCC" w:rsidRPr="00A87CCC" w:rsidRDefault="00A87CCC" w:rsidP="00CA3FFF">
      <w:pPr>
        <w:rPr>
          <w:rFonts w:ascii="Arial" w:hAnsi="Arial" w:cs="Arial"/>
          <w:b/>
          <w:sz w:val="21"/>
          <w:szCs w:val="21"/>
        </w:rPr>
      </w:pPr>
      <w:r w:rsidRPr="00A87CCC">
        <w:rPr>
          <w:rFonts w:ascii="Arial" w:hAnsi="Arial" w:cs="Arial"/>
          <w:b/>
          <w:sz w:val="21"/>
          <w:szCs w:val="21"/>
        </w:rPr>
        <w:t xml:space="preserve">Faculty Profile: </w:t>
      </w:r>
      <w:hyperlink r:id="rId7" w:history="1">
        <w:r w:rsidR="0003527E" w:rsidRPr="00F34D34">
          <w:rPr>
            <w:rStyle w:val="Hyperlink"/>
            <w:rFonts w:ascii="Arial" w:hAnsi="Arial" w:cs="Arial"/>
            <w:sz w:val="21"/>
            <w:szCs w:val="21"/>
          </w:rPr>
          <w:t>www.priscilacacola.com</w:t>
        </w:r>
      </w:hyperlink>
      <w:r w:rsidR="0003527E">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KINE 43</w:t>
      </w:r>
      <w:r w:rsidR="007A1727">
        <w:rPr>
          <w:rFonts w:ascii="Arial" w:hAnsi="Arial" w:cs="Arial"/>
          <w:sz w:val="21"/>
          <w:szCs w:val="21"/>
        </w:rPr>
        <w:t>23</w:t>
      </w:r>
      <w:r w:rsidR="00F225F9">
        <w:rPr>
          <w:rFonts w:ascii="Arial" w:hAnsi="Arial" w:cs="Arial"/>
          <w:sz w:val="21"/>
          <w:szCs w:val="21"/>
        </w:rPr>
        <w:t>/5323</w:t>
      </w:r>
      <w:r w:rsidR="007A1727">
        <w:rPr>
          <w:rFonts w:ascii="Arial" w:hAnsi="Arial" w:cs="Arial"/>
          <w:sz w:val="21"/>
          <w:szCs w:val="21"/>
        </w:rPr>
        <w:t>-001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T/R 1</w:t>
      </w:r>
      <w:r w:rsidR="00F225F9">
        <w:rPr>
          <w:rFonts w:ascii="Arial" w:hAnsi="Arial" w:cs="Arial"/>
          <w:sz w:val="21"/>
          <w:szCs w:val="21"/>
        </w:rPr>
        <w:t>2</w:t>
      </w:r>
      <w:r>
        <w:rPr>
          <w:rFonts w:ascii="Arial" w:hAnsi="Arial" w:cs="Arial"/>
          <w:sz w:val="21"/>
          <w:szCs w:val="21"/>
        </w:rPr>
        <w:t>:</w:t>
      </w:r>
      <w:r w:rsidR="00F225F9">
        <w:rPr>
          <w:rFonts w:ascii="Arial" w:hAnsi="Arial" w:cs="Arial"/>
          <w:sz w:val="21"/>
          <w:szCs w:val="21"/>
        </w:rPr>
        <w:t>3</w:t>
      </w:r>
      <w:r>
        <w:rPr>
          <w:rFonts w:ascii="Arial" w:hAnsi="Arial" w:cs="Arial"/>
          <w:sz w:val="21"/>
          <w:szCs w:val="21"/>
        </w:rPr>
        <w:t>0</w:t>
      </w:r>
      <w:r w:rsidR="00F225F9">
        <w:rPr>
          <w:rFonts w:ascii="Arial" w:hAnsi="Arial" w:cs="Arial"/>
          <w:sz w:val="21"/>
          <w:szCs w:val="21"/>
        </w:rPr>
        <w:t>p</w:t>
      </w:r>
      <w:r>
        <w:rPr>
          <w:rFonts w:ascii="Arial" w:hAnsi="Arial" w:cs="Arial"/>
          <w:sz w:val="21"/>
          <w:szCs w:val="21"/>
        </w:rPr>
        <w:t xml:space="preserve">m – </w:t>
      </w:r>
      <w:r w:rsidR="00F225F9">
        <w:rPr>
          <w:rFonts w:ascii="Arial" w:hAnsi="Arial" w:cs="Arial"/>
          <w:sz w:val="21"/>
          <w:szCs w:val="21"/>
        </w:rPr>
        <w:t>1</w:t>
      </w:r>
      <w:r w:rsidRPr="00AD1057">
        <w:rPr>
          <w:rFonts w:ascii="Arial" w:hAnsi="Arial" w:cs="Arial"/>
          <w:sz w:val="21"/>
          <w:szCs w:val="21"/>
        </w:rPr>
        <w:t>:</w:t>
      </w:r>
      <w:r w:rsidR="00F225F9">
        <w:rPr>
          <w:rFonts w:ascii="Arial" w:hAnsi="Arial" w:cs="Arial"/>
          <w:sz w:val="21"/>
          <w:szCs w:val="21"/>
        </w:rPr>
        <w:t>5</w:t>
      </w:r>
      <w:r>
        <w:rPr>
          <w:rFonts w:ascii="Arial" w:hAnsi="Arial" w:cs="Arial"/>
          <w:sz w:val="21"/>
          <w:szCs w:val="21"/>
        </w:rPr>
        <w:t xml:space="preserve">0pm, </w:t>
      </w:r>
      <w:r w:rsidR="007A1727">
        <w:rPr>
          <w:rFonts w:ascii="Arial" w:hAnsi="Arial" w:cs="Arial"/>
          <w:sz w:val="21"/>
          <w:szCs w:val="21"/>
        </w:rPr>
        <w:t xml:space="preserve">SH </w:t>
      </w:r>
      <w:r w:rsidR="00F225F9">
        <w:rPr>
          <w:rFonts w:ascii="Arial" w:hAnsi="Arial" w:cs="Arial"/>
          <w:sz w:val="21"/>
          <w:szCs w:val="21"/>
        </w:rPr>
        <w:t>32</w:t>
      </w:r>
      <w:r w:rsidR="007A1727">
        <w:rPr>
          <w:rFonts w:ascii="Arial" w:hAnsi="Arial" w:cs="Arial"/>
          <w:sz w:val="21"/>
          <w:szCs w:val="21"/>
        </w:rPr>
        <w:t>5</w:t>
      </w:r>
      <w:r>
        <w:rPr>
          <w:rFonts w:ascii="Arial" w:hAnsi="Arial" w:cs="Arial"/>
          <w:sz w:val="21"/>
          <w:szCs w:val="21"/>
        </w:rPr>
        <w:t xml:space="preserve"> </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w:t>
      </w:r>
      <w:r w:rsidR="00F41174">
        <w:rPr>
          <w:rFonts w:ascii="Arial" w:hAnsi="Arial" w:cs="Arial"/>
          <w:sz w:val="21"/>
          <w:szCs w:val="21"/>
        </w:rPr>
        <w:t>d learning of movement skills. </w:t>
      </w:r>
      <w:r w:rsidRPr="00A10A33">
        <w:rPr>
          <w:rFonts w:ascii="Arial" w:hAnsi="Arial" w:cs="Arial"/>
          <w:sz w:val="21"/>
          <w:szCs w:val="21"/>
        </w:rPr>
        <w:t>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 xml:space="preserve">In my view, you will leave this class well prepared to teach and rehabilitate motor skills of any kind. 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proofErr w:type="gramStart"/>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3E74BB" w:rsidRPr="00617509">
        <w:rPr>
          <w:rFonts w:ascii="Arial" w:hAnsi="Arial" w:cs="Arial"/>
          <w:sz w:val="21"/>
          <w:szCs w:val="21"/>
        </w:rPr>
        <w:t>4</w:t>
      </w:r>
      <w:r w:rsidRPr="00617509">
        <w:rPr>
          <w:rFonts w:ascii="Arial" w:hAnsi="Arial" w:cs="Arial"/>
          <w:sz w:val="21"/>
          <w:szCs w:val="21"/>
        </w:rPr>
        <w:t>).</w:t>
      </w:r>
      <w:proofErr w:type="gramEnd"/>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w:t>
      </w:r>
      <w:proofErr w:type="gramStart"/>
      <w:r w:rsidR="003E74BB" w:rsidRPr="00617509">
        <w:rPr>
          <w:rFonts w:ascii="Arial" w:hAnsi="Arial" w:cs="Arial"/>
          <w:sz w:val="21"/>
          <w:szCs w:val="21"/>
        </w:rPr>
        <w:t>McGraw-Hill, 10</w:t>
      </w:r>
      <w:r w:rsidRPr="00617509">
        <w:rPr>
          <w:rFonts w:ascii="Arial" w:hAnsi="Arial" w:cs="Arial"/>
          <w:sz w:val="21"/>
          <w:szCs w:val="21"/>
        </w:rPr>
        <w:t>th edition.</w:t>
      </w:r>
      <w:proofErr w:type="gramEnd"/>
    </w:p>
    <w:p w:rsidR="007A1727" w:rsidRDefault="007A1727" w:rsidP="00CA3FFF">
      <w:pPr>
        <w:rPr>
          <w:rFonts w:ascii="Arial" w:hAnsi="Arial" w:cs="Arial"/>
          <w:sz w:val="21"/>
          <w:szCs w:val="21"/>
          <w:u w:val="single"/>
        </w:rPr>
      </w:pPr>
    </w:p>
    <w:p w:rsidR="00CA3FFF" w:rsidRDefault="007A1727" w:rsidP="00CA3FFF">
      <w:pPr>
        <w:rPr>
          <w:rFonts w:ascii="Arial" w:hAnsi="Arial" w:cs="Arial"/>
          <w:sz w:val="21"/>
          <w:szCs w:val="21"/>
        </w:rPr>
      </w:pPr>
      <w:r>
        <w:rPr>
          <w:rFonts w:ascii="Arial" w:hAnsi="Arial" w:cs="Arial"/>
          <w:sz w:val="21"/>
          <w:szCs w:val="21"/>
          <w:u w:val="single"/>
        </w:rPr>
        <w:t>Supplemental</w:t>
      </w:r>
      <w:r w:rsidR="00CA3FFF" w:rsidRPr="006414CC">
        <w:rPr>
          <w:rFonts w:ascii="Arial" w:hAnsi="Arial" w:cs="Arial"/>
          <w:sz w:val="21"/>
          <w:szCs w:val="21"/>
          <w:u w:val="single"/>
        </w:rPr>
        <w:t xml:space="preserve"> Textbook:</w:t>
      </w:r>
      <w:r w:rsidR="00CA3FFF" w:rsidRPr="006414CC">
        <w:rPr>
          <w:rFonts w:ascii="Arial" w:hAnsi="Arial" w:cs="Arial"/>
          <w:sz w:val="21"/>
          <w:szCs w:val="21"/>
        </w:rPr>
        <w:t xml:space="preserve"> Schmidt</w:t>
      </w:r>
      <w:r w:rsidR="00CA3FFF" w:rsidRPr="00754531">
        <w:rPr>
          <w:rFonts w:ascii="Arial" w:hAnsi="Arial" w:cs="Arial"/>
          <w:sz w:val="21"/>
          <w:szCs w:val="21"/>
        </w:rPr>
        <w:t xml:space="preserve">, R. A. &amp; Lee, T. D. (2011). </w:t>
      </w:r>
      <w:r w:rsidR="00CA3FFF" w:rsidRPr="00754531">
        <w:rPr>
          <w:rFonts w:ascii="Arial" w:hAnsi="Arial" w:cs="Arial"/>
          <w:i/>
          <w:sz w:val="21"/>
          <w:szCs w:val="21"/>
        </w:rPr>
        <w:t>Motor Control and Learning: A behavioral emphasis</w:t>
      </w:r>
      <w:r w:rsidR="00CA3FFF">
        <w:rPr>
          <w:rFonts w:ascii="Arial" w:hAnsi="Arial" w:cs="Arial"/>
          <w:i/>
          <w:sz w:val="21"/>
          <w:szCs w:val="21"/>
        </w:rPr>
        <w:t>.</w:t>
      </w:r>
      <w:r w:rsidR="00CA3FFF" w:rsidRPr="00754531">
        <w:rPr>
          <w:rFonts w:ascii="Arial" w:hAnsi="Arial" w:cs="Arial"/>
          <w:sz w:val="21"/>
          <w:szCs w:val="21"/>
        </w:rPr>
        <w:t xml:space="preserve"> </w:t>
      </w:r>
      <w:proofErr w:type="gramStart"/>
      <w:r w:rsidR="00CA3FFF" w:rsidRPr="00754531">
        <w:rPr>
          <w:rFonts w:ascii="Arial" w:hAnsi="Arial" w:cs="Arial"/>
          <w:sz w:val="21"/>
          <w:szCs w:val="21"/>
        </w:rPr>
        <w:t>Human Kinetics, 5</w:t>
      </w:r>
      <w:r w:rsidR="00CA3FFF" w:rsidRPr="00754531">
        <w:rPr>
          <w:rFonts w:ascii="Arial" w:hAnsi="Arial" w:cs="Arial"/>
          <w:sz w:val="21"/>
          <w:szCs w:val="21"/>
          <w:vertAlign w:val="superscript"/>
        </w:rPr>
        <w:t>th</w:t>
      </w:r>
      <w:r w:rsidR="00CA3FFF" w:rsidRPr="00754531">
        <w:rPr>
          <w:rFonts w:ascii="Arial" w:hAnsi="Arial" w:cs="Arial"/>
          <w:sz w:val="21"/>
          <w:szCs w:val="21"/>
        </w:rPr>
        <w:t xml:space="preserve"> ed</w:t>
      </w:r>
      <w:r w:rsidR="00CA3FFF">
        <w:rPr>
          <w:rFonts w:ascii="Arial" w:hAnsi="Arial" w:cs="Arial"/>
          <w:sz w:val="21"/>
          <w:szCs w:val="21"/>
        </w:rPr>
        <w:t>ition.</w:t>
      </w:r>
      <w:proofErr w:type="gramEnd"/>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Reading of journal articles will be required throughout the semester (they will be posted on Blackboard)</w:t>
      </w:r>
    </w:p>
    <w:p w:rsidR="00CA3FFF" w:rsidRPr="0016052E" w:rsidRDefault="00CA3FFF" w:rsidP="00CA3FFF">
      <w:pPr>
        <w:rPr>
          <w:rFonts w:ascii="Arial" w:hAnsi="Arial" w:cs="Arial"/>
          <w:sz w:val="21"/>
          <w:szCs w:val="21"/>
        </w:rPr>
      </w:pPr>
    </w:p>
    <w:p w:rsidR="00E578C9" w:rsidRDefault="00E578C9"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7A1727">
        <w:rPr>
          <w:rFonts w:ascii="Arial" w:hAnsi="Arial" w:cs="Arial"/>
          <w:sz w:val="21"/>
          <w:szCs w:val="21"/>
        </w:rPr>
        <w:t>3</w:t>
      </w:r>
      <w:r>
        <w:rPr>
          <w:rFonts w:ascii="Arial" w:hAnsi="Arial" w:cs="Arial"/>
          <w:sz w:val="21"/>
          <w:szCs w:val="21"/>
        </w:rPr>
        <w:t xml:space="preserve"> tests during the semester. Format and content will be discussed in class.</w:t>
      </w:r>
    </w:p>
    <w:p w:rsidR="003A4872" w:rsidRPr="009652E7" w:rsidRDefault="003A4872" w:rsidP="009652E7">
      <w:pPr>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 xml:space="preserve">There will be a research paper on a topic of your choice due in the final weeks of class. </w:t>
      </w:r>
    </w:p>
    <w:p w:rsidR="00CA3FFF" w:rsidRPr="00530CE0" w:rsidRDefault="00CA3FFF" w:rsidP="00530CE0">
      <w:pPr>
        <w:pStyle w:val="ListParagraph"/>
        <w:rPr>
          <w:rFonts w:ascii="Arial" w:hAnsi="Arial" w:cs="Arial"/>
          <w:sz w:val="21"/>
          <w:szCs w:val="21"/>
        </w:rPr>
      </w:pPr>
    </w:p>
    <w:p w:rsidR="00CA3FFF" w:rsidRPr="00A94DB7" w:rsidRDefault="00CA3FFF" w:rsidP="00CA3FFF">
      <w:pPr>
        <w:pStyle w:val="ListParagraph"/>
        <w:numPr>
          <w:ilvl w:val="0"/>
          <w:numId w:val="3"/>
        </w:numPr>
        <w:rPr>
          <w:rFonts w:ascii="Arial" w:hAnsi="Arial" w:cs="Arial"/>
          <w:sz w:val="21"/>
          <w:szCs w:val="21"/>
        </w:rPr>
      </w:pPr>
      <w:r w:rsidRPr="00A94DB7">
        <w:rPr>
          <w:rFonts w:ascii="Arial" w:hAnsi="Arial" w:cs="Arial"/>
          <w:sz w:val="21"/>
          <w:szCs w:val="21"/>
        </w:rPr>
        <w:t>Participation (Class):</w:t>
      </w:r>
    </w:p>
    <w:p w:rsidR="00CA3FFF" w:rsidRDefault="00CA3FFF"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 xml:space="preserve">Class: Include but are not limited to answer questions, contribute to discussions, pose questions, etc. </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87CCC">
        <w:rPr>
          <w:rFonts w:ascii="Arial" w:hAnsi="Arial" w:cs="Arial"/>
          <w:sz w:val="21"/>
          <w:szCs w:val="21"/>
        </w:rPr>
        <w:t xml:space="preserve">I expect you NOT to miss </w:t>
      </w:r>
      <w:r w:rsidRPr="000543AD">
        <w:rPr>
          <w:rFonts w:ascii="Arial" w:hAnsi="Arial" w:cs="Arial"/>
          <w:sz w:val="21"/>
          <w:szCs w:val="21"/>
        </w:rPr>
        <w:t xml:space="preserve">any classes. We will cover new material </w:t>
      </w:r>
      <w:r w:rsidRPr="000543AD">
        <w:rPr>
          <w:rFonts w:ascii="Arial" w:hAnsi="Arial" w:cs="Arial"/>
          <w:i/>
          <w:sz w:val="21"/>
          <w:szCs w:val="21"/>
        </w:rPr>
        <w:t>every</w:t>
      </w:r>
      <w:r w:rsidRPr="000543AD">
        <w:rPr>
          <w:rFonts w:ascii="Arial" w:hAnsi="Arial" w:cs="Arial"/>
          <w:sz w:val="21"/>
          <w:szCs w:val="21"/>
        </w:rPr>
        <w:t xml:space="preserve"> day. It is important that you attend class.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CA3FFF" w:rsidP="00CA3FFF">
      <w:pPr>
        <w:pStyle w:val="ListParagraph"/>
        <w:numPr>
          <w:ilvl w:val="0"/>
          <w:numId w:val="2"/>
        </w:numPr>
        <w:rPr>
          <w:rFonts w:ascii="Arial" w:hAnsi="Arial" w:cs="Arial"/>
          <w:sz w:val="21"/>
          <w:szCs w:val="21"/>
        </w:rPr>
      </w:pPr>
      <w:r w:rsidRPr="00422CCB">
        <w:rPr>
          <w:rFonts w:ascii="Arial" w:hAnsi="Arial" w:cs="Arial"/>
          <w:sz w:val="21"/>
          <w:szCs w:val="21"/>
        </w:rPr>
        <w:t xml:space="preserve">Participation (Class) – </w:t>
      </w:r>
      <w:r w:rsidR="00066B24">
        <w:rPr>
          <w:rFonts w:ascii="Arial" w:hAnsi="Arial" w:cs="Arial"/>
          <w:sz w:val="21"/>
          <w:szCs w:val="21"/>
        </w:rPr>
        <w:t>2</w:t>
      </w:r>
      <w:r w:rsidR="0003527E">
        <w:rPr>
          <w:rFonts w:ascii="Arial" w:hAnsi="Arial" w:cs="Arial"/>
          <w:sz w:val="21"/>
          <w:szCs w:val="21"/>
        </w:rPr>
        <w:t>0</w:t>
      </w:r>
      <w:r w:rsidRPr="00422CCB">
        <w:rPr>
          <w:rFonts w:ascii="Arial" w:hAnsi="Arial" w:cs="Arial"/>
          <w:sz w:val="21"/>
          <w:szCs w:val="21"/>
        </w:rPr>
        <w:t xml:space="preserve"> pts</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Pr="00422CCB"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9652E7">
        <w:rPr>
          <w:rFonts w:ascii="Arial" w:hAnsi="Arial" w:cs="Arial"/>
          <w:sz w:val="21"/>
          <w:szCs w:val="21"/>
        </w:rPr>
        <w:t>2</w:t>
      </w:r>
      <w:r>
        <w:rPr>
          <w:rFonts w:ascii="Arial" w:hAnsi="Arial" w:cs="Arial"/>
          <w:sz w:val="21"/>
          <w:szCs w:val="21"/>
        </w:rPr>
        <w:t>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03527E" w:rsidRDefault="0003527E" w:rsidP="00CA3FFF">
      <w:pPr>
        <w:rPr>
          <w:rFonts w:ascii="Arial" w:hAnsi="Arial" w:cs="Arial"/>
          <w:sz w:val="21"/>
          <w:szCs w:val="21"/>
        </w:rPr>
      </w:pPr>
    </w:p>
    <w:p w:rsidR="00F5571D" w:rsidRPr="0064641B" w:rsidRDefault="0064641B" w:rsidP="00CA3FFF">
      <w:pPr>
        <w:rPr>
          <w:rFonts w:ascii="Arial" w:hAnsi="Arial" w:cs="Arial"/>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lastRenderedPageBreak/>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8"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9"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10"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 xml:space="preserve">visit the reception desk at University College </w:t>
      </w:r>
      <w:r>
        <w:rPr>
          <w:rFonts w:ascii="Arial" w:hAnsi="Arial" w:cs="Arial"/>
          <w:sz w:val="21"/>
          <w:szCs w:val="21"/>
        </w:rPr>
        <w:lastRenderedPageBreak/>
        <w:t>(Ransom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4"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3527E" w:rsidRDefault="0003527E" w:rsidP="00F41174">
      <w:pPr>
        <w:rPr>
          <w:rFonts w:ascii="Arial" w:hAnsi="Arial" w:cs="Arial"/>
          <w:b/>
          <w:sz w:val="20"/>
          <w:szCs w:val="20"/>
        </w:rPr>
      </w:pPr>
    </w:p>
    <w:p w:rsidR="00CA3FFF" w:rsidRPr="00BB0770" w:rsidRDefault="00066B24" w:rsidP="0064641B">
      <w:pPr>
        <w:jc w:val="center"/>
        <w:rPr>
          <w:rFonts w:ascii="Arial" w:hAnsi="Arial" w:cs="Arial"/>
          <w:sz w:val="21"/>
          <w:szCs w:val="21"/>
        </w:rPr>
      </w:pPr>
      <w:r>
        <w:rPr>
          <w:rFonts w:ascii="Arial" w:hAnsi="Arial" w:cs="Arial"/>
          <w:b/>
          <w:sz w:val="20"/>
          <w:szCs w:val="20"/>
        </w:rPr>
        <w:lastRenderedPageBreak/>
        <w:t>SPRING</w:t>
      </w:r>
      <w:r w:rsidR="00CA3FFF">
        <w:rPr>
          <w:rFonts w:ascii="Arial" w:hAnsi="Arial" w:cs="Arial"/>
          <w:b/>
          <w:sz w:val="20"/>
          <w:szCs w:val="20"/>
        </w:rPr>
        <w:t xml:space="preserve"> 201</w:t>
      </w:r>
      <w:r>
        <w:rPr>
          <w:rFonts w:ascii="Arial" w:hAnsi="Arial" w:cs="Arial"/>
          <w:b/>
          <w:sz w:val="20"/>
          <w:szCs w:val="20"/>
        </w:rPr>
        <w:t>6</w:t>
      </w:r>
      <w:r w:rsidR="00CA3FFF" w:rsidRPr="00BB0770">
        <w:rPr>
          <w:rFonts w:ascii="Arial" w:hAnsi="Arial" w:cs="Arial"/>
          <w:b/>
          <w:sz w:val="20"/>
          <w:szCs w:val="20"/>
        </w:rPr>
        <w:t xml:space="preserve"> – KINE </w:t>
      </w:r>
      <w:r w:rsidR="00CA3FFF">
        <w:rPr>
          <w:rFonts w:ascii="Arial" w:hAnsi="Arial" w:cs="Arial"/>
          <w:b/>
          <w:sz w:val="20"/>
          <w:szCs w:val="20"/>
        </w:rPr>
        <w:t>43</w:t>
      </w:r>
      <w:r w:rsidR="00B644F9">
        <w:rPr>
          <w:rFonts w:ascii="Arial" w:hAnsi="Arial" w:cs="Arial"/>
          <w:b/>
          <w:sz w:val="20"/>
          <w:szCs w:val="20"/>
        </w:rPr>
        <w:t>23</w:t>
      </w:r>
      <w:r>
        <w:rPr>
          <w:rFonts w:ascii="Arial" w:hAnsi="Arial" w:cs="Arial"/>
          <w:b/>
          <w:sz w:val="20"/>
          <w:szCs w:val="20"/>
        </w:rPr>
        <w:t>/5323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817"/>
        <w:gridCol w:w="8606"/>
      </w:tblGrid>
      <w:tr w:rsidR="00114117" w:rsidRPr="00114117" w:rsidTr="00965720">
        <w:trPr>
          <w:jc w:val="center"/>
        </w:trPr>
        <w:tc>
          <w:tcPr>
            <w:tcW w:w="817"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606"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965720">
        <w:trPr>
          <w:jc w:val="center"/>
        </w:trPr>
        <w:tc>
          <w:tcPr>
            <w:tcW w:w="817" w:type="dxa"/>
            <w:vAlign w:val="center"/>
          </w:tcPr>
          <w:p w:rsidR="00114117" w:rsidRPr="00114117" w:rsidRDefault="00066B24" w:rsidP="0003527E">
            <w:pPr>
              <w:rPr>
                <w:rFonts w:ascii="Arial" w:hAnsi="Arial" w:cs="Arial"/>
                <w:sz w:val="24"/>
                <w:szCs w:val="24"/>
              </w:rPr>
            </w:pPr>
            <w:r>
              <w:rPr>
                <w:rFonts w:ascii="Arial" w:hAnsi="Arial" w:cs="Arial"/>
                <w:sz w:val="24"/>
                <w:szCs w:val="24"/>
              </w:rPr>
              <w:t>1/19</w:t>
            </w:r>
          </w:p>
        </w:tc>
        <w:tc>
          <w:tcPr>
            <w:tcW w:w="8606"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965720">
        <w:trPr>
          <w:jc w:val="center"/>
        </w:trPr>
        <w:tc>
          <w:tcPr>
            <w:tcW w:w="817" w:type="dxa"/>
            <w:vAlign w:val="center"/>
          </w:tcPr>
          <w:p w:rsidR="00114117" w:rsidRPr="00114117" w:rsidRDefault="00066B24" w:rsidP="004F6BB6">
            <w:pPr>
              <w:rPr>
                <w:rFonts w:ascii="Arial" w:hAnsi="Arial" w:cs="Arial"/>
                <w:sz w:val="24"/>
                <w:szCs w:val="24"/>
              </w:rPr>
            </w:pPr>
            <w:r>
              <w:rPr>
                <w:rFonts w:ascii="Arial" w:hAnsi="Arial" w:cs="Arial"/>
                <w:sz w:val="24"/>
                <w:szCs w:val="24"/>
              </w:rPr>
              <w:t>1/21</w:t>
            </w:r>
          </w:p>
        </w:tc>
        <w:tc>
          <w:tcPr>
            <w:tcW w:w="8606"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965720">
        <w:trPr>
          <w:jc w:val="center"/>
        </w:trPr>
        <w:tc>
          <w:tcPr>
            <w:tcW w:w="817" w:type="dxa"/>
            <w:vAlign w:val="center"/>
          </w:tcPr>
          <w:p w:rsidR="00114117" w:rsidRPr="00114117" w:rsidRDefault="00066B24" w:rsidP="004F6BB6">
            <w:pPr>
              <w:rPr>
                <w:rFonts w:ascii="Arial" w:hAnsi="Arial" w:cs="Arial"/>
                <w:sz w:val="24"/>
                <w:szCs w:val="24"/>
              </w:rPr>
            </w:pPr>
            <w:r>
              <w:rPr>
                <w:rFonts w:ascii="Arial" w:hAnsi="Arial" w:cs="Arial"/>
                <w:sz w:val="24"/>
                <w:szCs w:val="24"/>
              </w:rPr>
              <w:t>1/26</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965720">
        <w:trPr>
          <w:jc w:val="center"/>
        </w:trPr>
        <w:tc>
          <w:tcPr>
            <w:tcW w:w="817" w:type="dxa"/>
            <w:vAlign w:val="center"/>
          </w:tcPr>
          <w:p w:rsidR="00114117" w:rsidRPr="00114117" w:rsidRDefault="00066B24" w:rsidP="00066B24">
            <w:pPr>
              <w:rPr>
                <w:rFonts w:ascii="Arial" w:hAnsi="Arial" w:cs="Arial"/>
                <w:sz w:val="24"/>
                <w:szCs w:val="24"/>
              </w:rPr>
            </w:pPr>
            <w:r>
              <w:rPr>
                <w:rFonts w:ascii="Arial" w:hAnsi="Arial" w:cs="Arial"/>
                <w:sz w:val="24"/>
                <w:szCs w:val="24"/>
              </w:rPr>
              <w:t>1/28</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3 – Motor abilities</w:t>
            </w:r>
          </w:p>
        </w:tc>
      </w:tr>
      <w:tr w:rsidR="00114117" w:rsidRPr="00114117" w:rsidTr="00965720">
        <w:trPr>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2/02</w:t>
            </w:r>
          </w:p>
        </w:tc>
        <w:tc>
          <w:tcPr>
            <w:tcW w:w="8606"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 xml:space="preserve">Chapter 4 – </w:t>
            </w:r>
            <w:proofErr w:type="spellStart"/>
            <w:r w:rsidRPr="00114117">
              <w:rPr>
                <w:rFonts w:ascii="Arial" w:hAnsi="Arial" w:cs="Arial"/>
                <w:sz w:val="24"/>
                <w:szCs w:val="24"/>
              </w:rPr>
              <w:t>Neuromotor</w:t>
            </w:r>
            <w:proofErr w:type="spellEnd"/>
            <w:r w:rsidRPr="00114117">
              <w:rPr>
                <w:rFonts w:ascii="Arial" w:hAnsi="Arial" w:cs="Arial"/>
                <w:sz w:val="24"/>
                <w:szCs w:val="24"/>
              </w:rPr>
              <w:t xml:space="preserve"> basis for motor control</w:t>
            </w:r>
          </w:p>
        </w:tc>
      </w:tr>
      <w:tr w:rsidR="00114117" w:rsidRPr="00114117" w:rsidTr="00965720">
        <w:trPr>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2/04</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5 – Motor control theories</w:t>
            </w:r>
          </w:p>
        </w:tc>
      </w:tr>
      <w:tr w:rsidR="00114117" w:rsidRPr="00114117" w:rsidTr="00965720">
        <w:trPr>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2/09</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6 – Sensory components of motor control</w:t>
            </w:r>
          </w:p>
        </w:tc>
      </w:tr>
      <w:tr w:rsidR="00114117" w:rsidRPr="00114117" w:rsidTr="00965720">
        <w:trPr>
          <w:trHeight w:val="251"/>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2/11</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7 – Performance and motor control characteristics of functional skills</w:t>
            </w:r>
          </w:p>
        </w:tc>
      </w:tr>
      <w:tr w:rsidR="00114117" w:rsidRPr="00114117" w:rsidTr="00965720">
        <w:trPr>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2/16</w:t>
            </w:r>
          </w:p>
        </w:tc>
        <w:tc>
          <w:tcPr>
            <w:tcW w:w="8606" w:type="dxa"/>
          </w:tcPr>
          <w:p w:rsidR="00114117" w:rsidRPr="00114117" w:rsidRDefault="00114117" w:rsidP="009B173C">
            <w:pPr>
              <w:rPr>
                <w:rFonts w:ascii="Arial" w:hAnsi="Arial" w:cs="Arial"/>
                <w:sz w:val="24"/>
                <w:szCs w:val="24"/>
              </w:rPr>
            </w:pPr>
            <w:r w:rsidRPr="00114117">
              <w:rPr>
                <w:rFonts w:ascii="Arial" w:hAnsi="Arial" w:cs="Arial"/>
                <w:sz w:val="24"/>
                <w:szCs w:val="24"/>
              </w:rPr>
              <w:t>Chapter 8 – Action preparation</w:t>
            </w:r>
          </w:p>
        </w:tc>
      </w:tr>
      <w:tr w:rsidR="00114117" w:rsidRPr="00114117" w:rsidTr="00965720">
        <w:trPr>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2/18</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965720">
        <w:trPr>
          <w:jc w:val="center"/>
        </w:trPr>
        <w:tc>
          <w:tcPr>
            <w:tcW w:w="817" w:type="dxa"/>
            <w:vAlign w:val="center"/>
          </w:tcPr>
          <w:p w:rsidR="00114117" w:rsidRPr="00114117" w:rsidRDefault="009252ED" w:rsidP="0064641B">
            <w:pPr>
              <w:rPr>
                <w:rFonts w:ascii="Arial" w:hAnsi="Arial" w:cs="Arial"/>
                <w:b/>
                <w:sz w:val="24"/>
                <w:szCs w:val="24"/>
              </w:rPr>
            </w:pPr>
            <w:r>
              <w:rPr>
                <w:rFonts w:ascii="Arial" w:hAnsi="Arial" w:cs="Arial"/>
                <w:b/>
                <w:sz w:val="24"/>
                <w:szCs w:val="24"/>
              </w:rPr>
              <w:t>2/23</w:t>
            </w:r>
          </w:p>
        </w:tc>
        <w:tc>
          <w:tcPr>
            <w:tcW w:w="8606" w:type="dxa"/>
          </w:tcPr>
          <w:p w:rsidR="00114117" w:rsidRPr="00114117" w:rsidRDefault="00114117" w:rsidP="0064641B">
            <w:pPr>
              <w:rPr>
                <w:rFonts w:ascii="Arial" w:hAnsi="Arial" w:cs="Arial"/>
                <w:sz w:val="24"/>
                <w:szCs w:val="24"/>
              </w:rPr>
            </w:pPr>
            <w:r w:rsidRPr="00114117">
              <w:rPr>
                <w:rFonts w:ascii="Arial" w:hAnsi="Arial" w:cs="Arial"/>
                <w:b/>
                <w:sz w:val="24"/>
                <w:szCs w:val="24"/>
              </w:rPr>
              <w:t>Test 1</w:t>
            </w:r>
          </w:p>
        </w:tc>
      </w:tr>
      <w:tr w:rsidR="00114117" w:rsidRPr="00114117" w:rsidTr="00965720">
        <w:trPr>
          <w:jc w:val="center"/>
        </w:trPr>
        <w:tc>
          <w:tcPr>
            <w:tcW w:w="817" w:type="dxa"/>
            <w:vAlign w:val="center"/>
          </w:tcPr>
          <w:p w:rsidR="00114117" w:rsidRPr="00114117" w:rsidRDefault="009252ED" w:rsidP="004F6BB6">
            <w:pPr>
              <w:rPr>
                <w:rFonts w:ascii="Arial" w:hAnsi="Arial" w:cs="Arial"/>
                <w:sz w:val="24"/>
                <w:szCs w:val="24"/>
              </w:rPr>
            </w:pPr>
            <w:r>
              <w:rPr>
                <w:rFonts w:ascii="Arial" w:hAnsi="Arial" w:cs="Arial"/>
                <w:sz w:val="24"/>
                <w:szCs w:val="24"/>
              </w:rPr>
              <w:t>2/25</w:t>
            </w:r>
          </w:p>
        </w:tc>
        <w:tc>
          <w:tcPr>
            <w:tcW w:w="8606" w:type="dxa"/>
          </w:tcPr>
          <w:p w:rsidR="00114117" w:rsidRPr="00114117" w:rsidRDefault="00114117" w:rsidP="004F6BB6">
            <w:pPr>
              <w:rPr>
                <w:rFonts w:ascii="Arial" w:hAnsi="Arial" w:cs="Arial"/>
                <w:b/>
                <w:sz w:val="24"/>
                <w:szCs w:val="24"/>
              </w:rPr>
            </w:pPr>
            <w:r w:rsidRPr="00114117">
              <w:rPr>
                <w:rFonts w:ascii="Arial" w:hAnsi="Arial" w:cs="Arial"/>
                <w:sz w:val="24"/>
                <w:szCs w:val="24"/>
              </w:rPr>
              <w:t>Chapter 9 – Attention as a limited capacity resource</w:t>
            </w:r>
          </w:p>
        </w:tc>
      </w:tr>
      <w:tr w:rsidR="00114117" w:rsidRPr="00114117" w:rsidTr="00965720">
        <w:trPr>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3/01</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10 – Memory components, forgetting, and strategies</w:t>
            </w:r>
          </w:p>
        </w:tc>
      </w:tr>
      <w:tr w:rsidR="00114117" w:rsidRPr="00114117" w:rsidTr="00965720">
        <w:trPr>
          <w:jc w:val="center"/>
        </w:trPr>
        <w:tc>
          <w:tcPr>
            <w:tcW w:w="817" w:type="dxa"/>
            <w:vAlign w:val="center"/>
          </w:tcPr>
          <w:p w:rsidR="00114117" w:rsidRPr="00114117" w:rsidRDefault="009252ED" w:rsidP="0003527E">
            <w:pPr>
              <w:rPr>
                <w:rFonts w:ascii="Arial" w:hAnsi="Arial" w:cs="Arial"/>
                <w:sz w:val="24"/>
                <w:szCs w:val="24"/>
              </w:rPr>
            </w:pPr>
            <w:r>
              <w:rPr>
                <w:rFonts w:ascii="Arial" w:hAnsi="Arial" w:cs="Arial"/>
                <w:sz w:val="24"/>
                <w:szCs w:val="24"/>
              </w:rPr>
              <w:t>3/03</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11 – Defining and assessing learning</w:t>
            </w:r>
          </w:p>
        </w:tc>
      </w:tr>
      <w:tr w:rsidR="00114117" w:rsidRPr="00114117" w:rsidTr="00965720">
        <w:trPr>
          <w:jc w:val="center"/>
        </w:trPr>
        <w:tc>
          <w:tcPr>
            <w:tcW w:w="817" w:type="dxa"/>
          </w:tcPr>
          <w:p w:rsidR="00114117" w:rsidRPr="00114117" w:rsidRDefault="009252ED" w:rsidP="0064641B">
            <w:pPr>
              <w:rPr>
                <w:rFonts w:ascii="Arial" w:hAnsi="Arial" w:cs="Arial"/>
                <w:sz w:val="24"/>
                <w:szCs w:val="24"/>
              </w:rPr>
            </w:pPr>
            <w:r>
              <w:rPr>
                <w:rFonts w:ascii="Arial" w:hAnsi="Arial" w:cs="Arial"/>
                <w:sz w:val="24"/>
                <w:szCs w:val="24"/>
              </w:rPr>
              <w:t>3/08</w:t>
            </w:r>
          </w:p>
        </w:tc>
        <w:tc>
          <w:tcPr>
            <w:tcW w:w="8606" w:type="dxa"/>
          </w:tcPr>
          <w:p w:rsidR="00114117" w:rsidRPr="00114117" w:rsidRDefault="00114117" w:rsidP="00576C37">
            <w:pPr>
              <w:rPr>
                <w:rFonts w:ascii="Arial" w:hAnsi="Arial" w:cs="Arial"/>
                <w:b/>
                <w:sz w:val="24"/>
                <w:szCs w:val="24"/>
              </w:rPr>
            </w:pPr>
            <w:r w:rsidRPr="00114117">
              <w:rPr>
                <w:rFonts w:ascii="Arial" w:hAnsi="Arial" w:cs="Arial"/>
                <w:sz w:val="24"/>
                <w:szCs w:val="24"/>
              </w:rPr>
              <w:t>Chapter 12 – The stages of learning</w:t>
            </w:r>
          </w:p>
        </w:tc>
      </w:tr>
      <w:tr w:rsidR="00114117" w:rsidRPr="00114117" w:rsidTr="00965720">
        <w:trPr>
          <w:jc w:val="center"/>
        </w:trPr>
        <w:tc>
          <w:tcPr>
            <w:tcW w:w="817" w:type="dxa"/>
            <w:vAlign w:val="center"/>
          </w:tcPr>
          <w:p w:rsidR="00114117" w:rsidRPr="00114117" w:rsidRDefault="009252ED" w:rsidP="0064641B">
            <w:pPr>
              <w:rPr>
                <w:rFonts w:ascii="Arial" w:hAnsi="Arial" w:cs="Arial"/>
                <w:sz w:val="24"/>
                <w:szCs w:val="24"/>
              </w:rPr>
            </w:pPr>
            <w:r>
              <w:rPr>
                <w:rFonts w:ascii="Arial" w:hAnsi="Arial" w:cs="Arial"/>
                <w:sz w:val="24"/>
                <w:szCs w:val="24"/>
              </w:rPr>
              <w:t>3/10</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13 – Transfer of learning</w:t>
            </w:r>
          </w:p>
        </w:tc>
      </w:tr>
      <w:tr w:rsidR="00114117" w:rsidRPr="00114117" w:rsidTr="00965720">
        <w:trPr>
          <w:jc w:val="center"/>
        </w:trPr>
        <w:tc>
          <w:tcPr>
            <w:tcW w:w="817" w:type="dxa"/>
            <w:vAlign w:val="center"/>
          </w:tcPr>
          <w:p w:rsidR="00114117" w:rsidRPr="00114117" w:rsidRDefault="00EC3EE0" w:rsidP="0064641B">
            <w:pPr>
              <w:rPr>
                <w:rFonts w:ascii="Arial" w:hAnsi="Arial" w:cs="Arial"/>
                <w:sz w:val="24"/>
                <w:szCs w:val="24"/>
              </w:rPr>
            </w:pPr>
            <w:r>
              <w:rPr>
                <w:rFonts w:ascii="Arial" w:hAnsi="Arial" w:cs="Arial"/>
                <w:sz w:val="24"/>
                <w:szCs w:val="24"/>
              </w:rPr>
              <w:t>3/22</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965720">
        <w:trPr>
          <w:jc w:val="center"/>
        </w:trPr>
        <w:tc>
          <w:tcPr>
            <w:tcW w:w="817" w:type="dxa"/>
            <w:vAlign w:val="center"/>
          </w:tcPr>
          <w:p w:rsidR="00114117" w:rsidRPr="00114117" w:rsidRDefault="00EC3EE0" w:rsidP="0003527E">
            <w:pPr>
              <w:rPr>
                <w:rFonts w:ascii="Arial" w:hAnsi="Arial" w:cs="Arial"/>
                <w:b/>
                <w:sz w:val="24"/>
                <w:szCs w:val="24"/>
              </w:rPr>
            </w:pPr>
            <w:r>
              <w:rPr>
                <w:rFonts w:ascii="Arial" w:hAnsi="Arial" w:cs="Arial"/>
                <w:b/>
                <w:sz w:val="24"/>
                <w:szCs w:val="24"/>
              </w:rPr>
              <w:t>3/24</w:t>
            </w:r>
          </w:p>
        </w:tc>
        <w:tc>
          <w:tcPr>
            <w:tcW w:w="8606" w:type="dxa"/>
          </w:tcPr>
          <w:p w:rsidR="00114117" w:rsidRPr="00114117" w:rsidRDefault="00114117" w:rsidP="00AE3867">
            <w:pPr>
              <w:rPr>
                <w:rFonts w:ascii="Arial" w:hAnsi="Arial" w:cs="Arial"/>
                <w:sz w:val="24"/>
                <w:szCs w:val="24"/>
              </w:rPr>
            </w:pPr>
            <w:r w:rsidRPr="00114117">
              <w:rPr>
                <w:rFonts w:ascii="Arial" w:hAnsi="Arial" w:cs="Arial"/>
                <w:b/>
                <w:sz w:val="24"/>
                <w:szCs w:val="24"/>
              </w:rPr>
              <w:t>Test 2</w:t>
            </w:r>
          </w:p>
        </w:tc>
      </w:tr>
      <w:tr w:rsidR="00114117" w:rsidRPr="00114117" w:rsidTr="00965720">
        <w:trPr>
          <w:jc w:val="center"/>
        </w:trPr>
        <w:tc>
          <w:tcPr>
            <w:tcW w:w="817" w:type="dxa"/>
            <w:vAlign w:val="center"/>
          </w:tcPr>
          <w:p w:rsidR="00114117" w:rsidRPr="00114117" w:rsidRDefault="00EC3EE0" w:rsidP="0003527E">
            <w:pPr>
              <w:rPr>
                <w:rFonts w:ascii="Arial" w:hAnsi="Arial" w:cs="Arial"/>
                <w:sz w:val="24"/>
                <w:szCs w:val="24"/>
              </w:rPr>
            </w:pPr>
            <w:r>
              <w:rPr>
                <w:rFonts w:ascii="Arial" w:hAnsi="Arial" w:cs="Arial"/>
                <w:sz w:val="24"/>
                <w:szCs w:val="24"/>
              </w:rPr>
              <w:t>3/29</w:t>
            </w:r>
          </w:p>
        </w:tc>
        <w:tc>
          <w:tcPr>
            <w:tcW w:w="8606" w:type="dxa"/>
          </w:tcPr>
          <w:p w:rsidR="00114117" w:rsidRPr="00114117" w:rsidRDefault="00114117" w:rsidP="004F6BB6">
            <w:pPr>
              <w:rPr>
                <w:rFonts w:ascii="Arial" w:hAnsi="Arial" w:cs="Arial"/>
                <w:sz w:val="24"/>
                <w:szCs w:val="24"/>
              </w:rPr>
            </w:pPr>
            <w:r w:rsidRPr="00114117">
              <w:rPr>
                <w:rFonts w:ascii="Arial" w:hAnsi="Arial" w:cs="Arial"/>
                <w:sz w:val="24"/>
                <w:szCs w:val="24"/>
              </w:rPr>
              <w:t>Chapter 14 – Demonstration and verbal instructions</w:t>
            </w:r>
          </w:p>
        </w:tc>
      </w:tr>
      <w:tr w:rsidR="00114117" w:rsidRPr="00114117" w:rsidTr="00965720">
        <w:trPr>
          <w:jc w:val="center"/>
        </w:trPr>
        <w:tc>
          <w:tcPr>
            <w:tcW w:w="817" w:type="dxa"/>
            <w:vAlign w:val="center"/>
          </w:tcPr>
          <w:p w:rsidR="00114117" w:rsidRPr="00114117" w:rsidRDefault="00EC3EE0" w:rsidP="0003527E">
            <w:pPr>
              <w:rPr>
                <w:rFonts w:ascii="Arial" w:hAnsi="Arial" w:cs="Arial"/>
                <w:sz w:val="24"/>
                <w:szCs w:val="24"/>
              </w:rPr>
            </w:pPr>
            <w:r>
              <w:rPr>
                <w:rFonts w:ascii="Arial" w:hAnsi="Arial" w:cs="Arial"/>
                <w:sz w:val="24"/>
                <w:szCs w:val="24"/>
              </w:rPr>
              <w:t>3/31</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15 – Augmented feedback</w:t>
            </w:r>
          </w:p>
        </w:tc>
      </w:tr>
      <w:tr w:rsidR="00114117" w:rsidRPr="00114117" w:rsidTr="00965720">
        <w:trPr>
          <w:jc w:val="center"/>
        </w:trPr>
        <w:tc>
          <w:tcPr>
            <w:tcW w:w="817" w:type="dxa"/>
            <w:vAlign w:val="center"/>
          </w:tcPr>
          <w:p w:rsidR="00114117" w:rsidRPr="00114117" w:rsidRDefault="00EC3EE0" w:rsidP="0003527E">
            <w:pPr>
              <w:rPr>
                <w:rFonts w:ascii="Arial" w:hAnsi="Arial" w:cs="Arial"/>
                <w:sz w:val="24"/>
                <w:szCs w:val="24"/>
              </w:rPr>
            </w:pPr>
            <w:r>
              <w:rPr>
                <w:rFonts w:ascii="Arial" w:hAnsi="Arial" w:cs="Arial"/>
                <w:sz w:val="24"/>
                <w:szCs w:val="24"/>
              </w:rPr>
              <w:t>4/05</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16 – Practice variability and specificity</w:t>
            </w:r>
          </w:p>
        </w:tc>
      </w:tr>
      <w:tr w:rsidR="00114117" w:rsidRPr="00114117" w:rsidTr="00965720">
        <w:trPr>
          <w:jc w:val="center"/>
        </w:trPr>
        <w:tc>
          <w:tcPr>
            <w:tcW w:w="817" w:type="dxa"/>
            <w:vAlign w:val="center"/>
          </w:tcPr>
          <w:p w:rsidR="00114117" w:rsidRPr="00114117" w:rsidRDefault="00EC3EE0" w:rsidP="0003527E">
            <w:pPr>
              <w:rPr>
                <w:rFonts w:ascii="Arial" w:hAnsi="Arial" w:cs="Arial"/>
                <w:sz w:val="24"/>
                <w:szCs w:val="24"/>
              </w:rPr>
            </w:pPr>
            <w:r>
              <w:rPr>
                <w:rFonts w:ascii="Arial" w:hAnsi="Arial" w:cs="Arial"/>
                <w:sz w:val="24"/>
                <w:szCs w:val="24"/>
              </w:rPr>
              <w:t>4/07</w:t>
            </w:r>
          </w:p>
        </w:tc>
        <w:tc>
          <w:tcPr>
            <w:tcW w:w="8606" w:type="dxa"/>
          </w:tcPr>
          <w:p w:rsidR="00114117" w:rsidRPr="00114117" w:rsidRDefault="00114117" w:rsidP="00F403A7">
            <w:pPr>
              <w:rPr>
                <w:rFonts w:ascii="Arial" w:hAnsi="Arial" w:cs="Arial"/>
                <w:sz w:val="24"/>
                <w:szCs w:val="24"/>
              </w:rPr>
            </w:pPr>
            <w:r w:rsidRPr="00114117">
              <w:rPr>
                <w:rFonts w:ascii="Arial" w:hAnsi="Arial" w:cs="Arial"/>
                <w:sz w:val="24"/>
                <w:szCs w:val="24"/>
              </w:rPr>
              <w:t>Chapter 17 – The amount and distribution of practice</w:t>
            </w:r>
          </w:p>
        </w:tc>
      </w:tr>
      <w:tr w:rsidR="00114117" w:rsidRPr="00114117" w:rsidTr="00965720">
        <w:trPr>
          <w:jc w:val="center"/>
        </w:trPr>
        <w:tc>
          <w:tcPr>
            <w:tcW w:w="817" w:type="dxa"/>
            <w:vAlign w:val="center"/>
          </w:tcPr>
          <w:p w:rsidR="00114117" w:rsidRPr="00114117" w:rsidRDefault="00EC3EE0" w:rsidP="0003527E">
            <w:pPr>
              <w:rPr>
                <w:rFonts w:ascii="Arial" w:hAnsi="Arial" w:cs="Arial"/>
                <w:sz w:val="24"/>
                <w:szCs w:val="24"/>
              </w:rPr>
            </w:pPr>
            <w:r>
              <w:rPr>
                <w:rFonts w:ascii="Arial" w:hAnsi="Arial" w:cs="Arial"/>
                <w:sz w:val="24"/>
                <w:szCs w:val="24"/>
              </w:rPr>
              <w:t>4/12</w:t>
            </w:r>
          </w:p>
        </w:tc>
        <w:tc>
          <w:tcPr>
            <w:tcW w:w="8606" w:type="dxa"/>
          </w:tcPr>
          <w:p w:rsidR="00114117" w:rsidRPr="00114117" w:rsidRDefault="00114117" w:rsidP="007F28A7">
            <w:pPr>
              <w:rPr>
                <w:rFonts w:ascii="Arial" w:hAnsi="Arial" w:cs="Arial"/>
                <w:sz w:val="24"/>
                <w:szCs w:val="24"/>
              </w:rPr>
            </w:pPr>
            <w:r w:rsidRPr="00114117">
              <w:rPr>
                <w:rFonts w:ascii="Arial" w:hAnsi="Arial" w:cs="Arial"/>
                <w:sz w:val="24"/>
                <w:szCs w:val="24"/>
              </w:rPr>
              <w:t>Chapter 18 – Whole and part practice</w:t>
            </w:r>
          </w:p>
        </w:tc>
      </w:tr>
      <w:tr w:rsidR="00114117" w:rsidRPr="00114117" w:rsidTr="00965720">
        <w:trPr>
          <w:jc w:val="center"/>
        </w:trPr>
        <w:tc>
          <w:tcPr>
            <w:tcW w:w="817" w:type="dxa"/>
            <w:vAlign w:val="center"/>
          </w:tcPr>
          <w:p w:rsidR="00114117" w:rsidRPr="00114117" w:rsidRDefault="00965720" w:rsidP="0003527E">
            <w:pPr>
              <w:rPr>
                <w:rFonts w:ascii="Arial" w:hAnsi="Arial" w:cs="Arial"/>
                <w:sz w:val="24"/>
                <w:szCs w:val="24"/>
              </w:rPr>
            </w:pPr>
            <w:r>
              <w:rPr>
                <w:rFonts w:ascii="Arial" w:hAnsi="Arial" w:cs="Arial"/>
                <w:sz w:val="24"/>
                <w:szCs w:val="24"/>
              </w:rPr>
              <w:t>4/14</w:t>
            </w:r>
          </w:p>
        </w:tc>
        <w:tc>
          <w:tcPr>
            <w:tcW w:w="8606" w:type="dxa"/>
          </w:tcPr>
          <w:p w:rsidR="00114117" w:rsidRPr="00114117" w:rsidRDefault="00114117" w:rsidP="007F28A7">
            <w:pPr>
              <w:rPr>
                <w:rFonts w:ascii="Arial" w:hAnsi="Arial" w:cs="Arial"/>
                <w:sz w:val="24"/>
                <w:szCs w:val="24"/>
              </w:rPr>
            </w:pPr>
            <w:r w:rsidRPr="00114117">
              <w:rPr>
                <w:rFonts w:ascii="Arial" w:hAnsi="Arial" w:cs="Arial"/>
                <w:sz w:val="24"/>
                <w:szCs w:val="24"/>
              </w:rPr>
              <w:t>Chapter 19 – Mental practice</w:t>
            </w:r>
          </w:p>
        </w:tc>
      </w:tr>
      <w:tr w:rsidR="00114117" w:rsidRPr="00114117" w:rsidTr="00965720">
        <w:trPr>
          <w:jc w:val="center"/>
        </w:trPr>
        <w:tc>
          <w:tcPr>
            <w:tcW w:w="817" w:type="dxa"/>
            <w:vAlign w:val="center"/>
          </w:tcPr>
          <w:p w:rsidR="00114117" w:rsidRPr="00114117" w:rsidRDefault="00965720" w:rsidP="0003527E">
            <w:pPr>
              <w:rPr>
                <w:rFonts w:ascii="Arial" w:hAnsi="Arial" w:cs="Arial"/>
                <w:sz w:val="24"/>
                <w:szCs w:val="24"/>
              </w:rPr>
            </w:pPr>
            <w:r>
              <w:rPr>
                <w:rFonts w:ascii="Arial" w:hAnsi="Arial" w:cs="Arial"/>
                <w:sz w:val="24"/>
                <w:szCs w:val="24"/>
              </w:rPr>
              <w:t>4/19</w:t>
            </w:r>
          </w:p>
        </w:tc>
        <w:tc>
          <w:tcPr>
            <w:tcW w:w="8606" w:type="dxa"/>
          </w:tcPr>
          <w:p w:rsidR="00114117" w:rsidRPr="00114117" w:rsidRDefault="00114117" w:rsidP="007F28A7">
            <w:pPr>
              <w:rPr>
                <w:rFonts w:ascii="Arial" w:hAnsi="Arial" w:cs="Arial"/>
                <w:sz w:val="24"/>
                <w:szCs w:val="24"/>
              </w:rPr>
            </w:pPr>
            <w:r w:rsidRPr="00114117">
              <w:rPr>
                <w:rFonts w:ascii="Arial" w:hAnsi="Arial" w:cs="Arial"/>
                <w:sz w:val="24"/>
                <w:szCs w:val="24"/>
              </w:rPr>
              <w:t>Review</w:t>
            </w:r>
          </w:p>
        </w:tc>
      </w:tr>
      <w:tr w:rsidR="00114117" w:rsidRPr="00114117" w:rsidTr="00965720">
        <w:trPr>
          <w:jc w:val="center"/>
        </w:trPr>
        <w:tc>
          <w:tcPr>
            <w:tcW w:w="817" w:type="dxa"/>
            <w:vAlign w:val="center"/>
          </w:tcPr>
          <w:p w:rsidR="00114117" w:rsidRPr="00114117" w:rsidRDefault="00965720" w:rsidP="0003527E">
            <w:pPr>
              <w:rPr>
                <w:rFonts w:ascii="Arial" w:hAnsi="Arial" w:cs="Arial"/>
                <w:b/>
                <w:sz w:val="24"/>
                <w:szCs w:val="24"/>
              </w:rPr>
            </w:pPr>
            <w:r>
              <w:rPr>
                <w:rFonts w:ascii="Arial" w:hAnsi="Arial" w:cs="Arial"/>
                <w:b/>
                <w:sz w:val="24"/>
                <w:szCs w:val="24"/>
              </w:rPr>
              <w:t>4/21</w:t>
            </w:r>
          </w:p>
        </w:tc>
        <w:tc>
          <w:tcPr>
            <w:tcW w:w="8606" w:type="dxa"/>
          </w:tcPr>
          <w:p w:rsidR="00114117" w:rsidRPr="00114117" w:rsidRDefault="00114117" w:rsidP="00114117">
            <w:pPr>
              <w:rPr>
                <w:rFonts w:ascii="Arial" w:hAnsi="Arial" w:cs="Arial"/>
                <w:sz w:val="24"/>
                <w:szCs w:val="24"/>
              </w:rPr>
            </w:pPr>
            <w:r w:rsidRPr="00114117">
              <w:rPr>
                <w:rFonts w:ascii="Arial" w:hAnsi="Arial" w:cs="Arial"/>
                <w:b/>
                <w:sz w:val="24"/>
                <w:szCs w:val="24"/>
              </w:rPr>
              <w:t>Test 3</w:t>
            </w:r>
          </w:p>
        </w:tc>
      </w:tr>
      <w:tr w:rsidR="00114117" w:rsidRPr="00114117" w:rsidTr="00965720">
        <w:trPr>
          <w:jc w:val="center"/>
        </w:trPr>
        <w:tc>
          <w:tcPr>
            <w:tcW w:w="817" w:type="dxa"/>
            <w:vAlign w:val="center"/>
          </w:tcPr>
          <w:p w:rsidR="00114117" w:rsidRPr="00114117" w:rsidRDefault="00965720" w:rsidP="0003527E">
            <w:pPr>
              <w:rPr>
                <w:rFonts w:ascii="Arial" w:hAnsi="Arial" w:cs="Arial"/>
                <w:sz w:val="24"/>
                <w:szCs w:val="24"/>
              </w:rPr>
            </w:pPr>
            <w:r>
              <w:rPr>
                <w:rFonts w:ascii="Arial" w:hAnsi="Arial" w:cs="Arial"/>
                <w:sz w:val="24"/>
                <w:szCs w:val="24"/>
              </w:rPr>
              <w:t>4/26</w:t>
            </w:r>
          </w:p>
        </w:tc>
        <w:tc>
          <w:tcPr>
            <w:tcW w:w="8606" w:type="dxa"/>
          </w:tcPr>
          <w:p w:rsidR="00114117" w:rsidRPr="00114117" w:rsidRDefault="00591FB2" w:rsidP="00AE3867">
            <w:pPr>
              <w:rPr>
                <w:rFonts w:ascii="Arial" w:hAnsi="Arial" w:cs="Arial"/>
                <w:sz w:val="24"/>
                <w:szCs w:val="24"/>
              </w:rPr>
            </w:pPr>
            <w:r>
              <w:rPr>
                <w:rFonts w:ascii="Arial" w:hAnsi="Arial" w:cs="Arial"/>
                <w:sz w:val="24"/>
                <w:szCs w:val="24"/>
              </w:rPr>
              <w:t>In-class work on paper</w:t>
            </w:r>
            <w:bookmarkStart w:id="0" w:name="_GoBack"/>
            <w:bookmarkEnd w:id="0"/>
          </w:p>
        </w:tc>
      </w:tr>
      <w:tr w:rsidR="00114117" w:rsidRPr="00114117" w:rsidTr="00965720">
        <w:trPr>
          <w:jc w:val="center"/>
        </w:trPr>
        <w:tc>
          <w:tcPr>
            <w:tcW w:w="817" w:type="dxa"/>
            <w:vAlign w:val="center"/>
          </w:tcPr>
          <w:p w:rsidR="00114117" w:rsidRPr="00114117" w:rsidRDefault="00965720" w:rsidP="0003527E">
            <w:pPr>
              <w:rPr>
                <w:rFonts w:ascii="Arial" w:hAnsi="Arial" w:cs="Arial"/>
                <w:sz w:val="24"/>
                <w:szCs w:val="24"/>
              </w:rPr>
            </w:pPr>
            <w:r>
              <w:rPr>
                <w:rFonts w:ascii="Arial" w:hAnsi="Arial" w:cs="Arial"/>
                <w:sz w:val="24"/>
                <w:szCs w:val="24"/>
              </w:rPr>
              <w:t>4/28</w:t>
            </w:r>
          </w:p>
        </w:tc>
        <w:tc>
          <w:tcPr>
            <w:tcW w:w="8606" w:type="dxa"/>
          </w:tcPr>
          <w:p w:rsidR="00114117" w:rsidRPr="00114117" w:rsidRDefault="00591FB2" w:rsidP="004F6BB6">
            <w:pPr>
              <w:rPr>
                <w:rFonts w:ascii="Arial" w:hAnsi="Arial" w:cs="Arial"/>
                <w:b/>
                <w:sz w:val="24"/>
                <w:szCs w:val="24"/>
              </w:rPr>
            </w:pPr>
            <w:r>
              <w:rPr>
                <w:rFonts w:ascii="Arial" w:hAnsi="Arial" w:cs="Arial"/>
                <w:sz w:val="24"/>
                <w:szCs w:val="24"/>
              </w:rPr>
              <w:t>In-class work on paper</w:t>
            </w:r>
          </w:p>
        </w:tc>
      </w:tr>
      <w:tr w:rsidR="00114117" w:rsidRPr="00114117" w:rsidTr="00965720">
        <w:trPr>
          <w:jc w:val="center"/>
        </w:trPr>
        <w:tc>
          <w:tcPr>
            <w:tcW w:w="817" w:type="dxa"/>
            <w:vAlign w:val="center"/>
          </w:tcPr>
          <w:p w:rsidR="00114117" w:rsidRPr="00114117" w:rsidRDefault="00965720" w:rsidP="0003527E">
            <w:pPr>
              <w:rPr>
                <w:rFonts w:ascii="Arial" w:hAnsi="Arial" w:cs="Arial"/>
                <w:sz w:val="24"/>
                <w:szCs w:val="24"/>
              </w:rPr>
            </w:pPr>
            <w:r>
              <w:rPr>
                <w:rFonts w:ascii="Arial" w:hAnsi="Arial" w:cs="Arial"/>
                <w:sz w:val="24"/>
                <w:szCs w:val="24"/>
              </w:rPr>
              <w:t>5/03</w:t>
            </w:r>
          </w:p>
        </w:tc>
        <w:tc>
          <w:tcPr>
            <w:tcW w:w="8606" w:type="dxa"/>
          </w:tcPr>
          <w:p w:rsidR="00114117" w:rsidRPr="00114117" w:rsidRDefault="00591FB2" w:rsidP="004F6BB6">
            <w:pPr>
              <w:rPr>
                <w:rFonts w:ascii="Arial" w:hAnsi="Arial" w:cs="Arial"/>
                <w:sz w:val="24"/>
                <w:szCs w:val="24"/>
              </w:rPr>
            </w:pPr>
            <w:r>
              <w:rPr>
                <w:rFonts w:ascii="Arial" w:hAnsi="Arial" w:cs="Arial"/>
                <w:sz w:val="24"/>
                <w:szCs w:val="24"/>
              </w:rPr>
              <w:t>In-class work on paper</w:t>
            </w:r>
          </w:p>
        </w:tc>
      </w:tr>
      <w:tr w:rsidR="00114117" w:rsidRPr="00114117" w:rsidTr="00965720">
        <w:trPr>
          <w:jc w:val="center"/>
        </w:trPr>
        <w:tc>
          <w:tcPr>
            <w:tcW w:w="817" w:type="dxa"/>
            <w:vAlign w:val="center"/>
          </w:tcPr>
          <w:p w:rsidR="00114117" w:rsidRPr="00114117" w:rsidRDefault="00965720" w:rsidP="0003527E">
            <w:pPr>
              <w:rPr>
                <w:rFonts w:ascii="Arial" w:hAnsi="Arial" w:cs="Arial"/>
                <w:sz w:val="24"/>
                <w:szCs w:val="24"/>
              </w:rPr>
            </w:pPr>
            <w:r>
              <w:rPr>
                <w:rFonts w:ascii="Arial" w:hAnsi="Arial" w:cs="Arial"/>
                <w:sz w:val="24"/>
                <w:szCs w:val="24"/>
              </w:rPr>
              <w:t>5/05</w:t>
            </w:r>
          </w:p>
        </w:tc>
        <w:tc>
          <w:tcPr>
            <w:tcW w:w="8606" w:type="dxa"/>
          </w:tcPr>
          <w:p w:rsidR="00114117" w:rsidRPr="00114117" w:rsidRDefault="00591FB2" w:rsidP="00AE3867">
            <w:pPr>
              <w:rPr>
                <w:rFonts w:ascii="Arial" w:hAnsi="Arial" w:cs="Arial"/>
                <w:sz w:val="24"/>
                <w:szCs w:val="24"/>
              </w:rPr>
            </w:pPr>
            <w:r>
              <w:rPr>
                <w:rFonts w:ascii="Arial" w:hAnsi="Arial" w:cs="Arial"/>
                <w:sz w:val="24"/>
                <w:szCs w:val="24"/>
              </w:rPr>
              <w:t>Paper due</w:t>
            </w:r>
          </w:p>
        </w:tc>
      </w:tr>
    </w:tbl>
    <w:p w:rsidR="005121A7" w:rsidRDefault="005121A7" w:rsidP="00CA3FFF">
      <w:pPr>
        <w:rPr>
          <w:rFonts w:ascii="Arial" w:hAnsi="Arial" w:cs="Arial"/>
          <w:sz w:val="21"/>
          <w:szCs w:val="21"/>
        </w:rPr>
      </w:pPr>
    </w:p>
    <w:p w:rsidR="00CA3FFF" w:rsidRPr="005121A7" w:rsidRDefault="005121A7" w:rsidP="00CA3FFF">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CA3FFF">
      <w:pPr>
        <w:rPr>
          <w:rFonts w:ascii="Arial" w:hAnsi="Arial" w:cs="Arial"/>
          <w:b/>
          <w:sz w:val="24"/>
          <w:szCs w:val="24"/>
        </w:rPr>
      </w:pPr>
    </w:p>
    <w:p w:rsidR="003E1D73" w:rsidRPr="005121A7" w:rsidRDefault="002B5EA8" w:rsidP="005121A7">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5121A7">
      <w:pPr>
        <w:pStyle w:val="ListParagraph"/>
        <w:numPr>
          <w:ilvl w:val="0"/>
          <w:numId w:val="5"/>
        </w:numPr>
        <w:rPr>
          <w:rFonts w:ascii="Arial" w:hAnsi="Arial" w:cs="Arial"/>
          <w:b/>
          <w:sz w:val="24"/>
          <w:szCs w:val="24"/>
        </w:rPr>
      </w:pPr>
      <w:r w:rsidRPr="005121A7">
        <w:rPr>
          <w:rFonts w:ascii="Arial" w:hAnsi="Arial" w:cs="Arial"/>
          <w:b/>
          <w:sz w:val="24"/>
          <w:szCs w:val="24"/>
        </w:rPr>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pPr>
        <w:rPr>
          <w:rFonts w:ascii="Arial" w:hAnsi="Arial" w:cs="Arial"/>
          <w:b/>
          <w:i/>
          <w:sz w:val="24"/>
          <w:szCs w:val="24"/>
        </w:rPr>
      </w:pPr>
    </w:p>
    <w:p w:rsidR="00C830CC" w:rsidRPr="003E1D73" w:rsidRDefault="00CA3FFF">
      <w:pPr>
        <w:rPr>
          <w:rFonts w:ascii="Arial" w:hAnsi="Arial" w:cs="Arial"/>
          <w:b/>
          <w:i/>
          <w:sz w:val="24"/>
          <w:szCs w:val="24"/>
        </w:rPr>
      </w:pPr>
      <w:r w:rsidRPr="003E1D73">
        <w:rPr>
          <w:rFonts w:ascii="Arial" w:hAnsi="Arial" w:cs="Arial"/>
          <w:b/>
          <w:i/>
          <w:sz w:val="24"/>
          <w:szCs w:val="24"/>
        </w:rPr>
        <w:t xml:space="preserve">Priscila M. </w:t>
      </w:r>
      <w:proofErr w:type="spellStart"/>
      <w:r w:rsidRPr="003E1D73">
        <w:rPr>
          <w:rFonts w:ascii="Arial" w:hAnsi="Arial" w:cs="Arial"/>
          <w:b/>
          <w:i/>
          <w:sz w:val="24"/>
          <w:szCs w:val="24"/>
        </w:rPr>
        <w:t>Caçola</w:t>
      </w:r>
      <w:proofErr w:type="spellEnd"/>
      <w:r w:rsidRPr="003E1D73">
        <w:rPr>
          <w:rFonts w:ascii="Arial" w:hAnsi="Arial" w:cs="Arial"/>
          <w:b/>
          <w:i/>
          <w:sz w:val="24"/>
          <w:szCs w:val="24"/>
        </w:rPr>
        <w:t>,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3527E"/>
    <w:rsid w:val="00066B24"/>
    <w:rsid w:val="000F644A"/>
    <w:rsid w:val="00106611"/>
    <w:rsid w:val="00114117"/>
    <w:rsid w:val="001826F2"/>
    <w:rsid w:val="001B282D"/>
    <w:rsid w:val="0022631D"/>
    <w:rsid w:val="002328CE"/>
    <w:rsid w:val="00270297"/>
    <w:rsid w:val="0029146D"/>
    <w:rsid w:val="002B5EA8"/>
    <w:rsid w:val="003A4872"/>
    <w:rsid w:val="003E1D73"/>
    <w:rsid w:val="003E74BB"/>
    <w:rsid w:val="00406ADC"/>
    <w:rsid w:val="00417E97"/>
    <w:rsid w:val="004424C7"/>
    <w:rsid w:val="0046155A"/>
    <w:rsid w:val="00480EAC"/>
    <w:rsid w:val="004E4BDF"/>
    <w:rsid w:val="005121A7"/>
    <w:rsid w:val="00530CE0"/>
    <w:rsid w:val="00576C37"/>
    <w:rsid w:val="00591FB2"/>
    <w:rsid w:val="005D1A5F"/>
    <w:rsid w:val="005E59D1"/>
    <w:rsid w:val="00617509"/>
    <w:rsid w:val="00640446"/>
    <w:rsid w:val="0064641B"/>
    <w:rsid w:val="006C584D"/>
    <w:rsid w:val="00770758"/>
    <w:rsid w:val="007A1727"/>
    <w:rsid w:val="007C41F4"/>
    <w:rsid w:val="007F28A7"/>
    <w:rsid w:val="008105B2"/>
    <w:rsid w:val="00885BFE"/>
    <w:rsid w:val="008B10A3"/>
    <w:rsid w:val="008F41BF"/>
    <w:rsid w:val="009252ED"/>
    <w:rsid w:val="009652E7"/>
    <w:rsid w:val="00965720"/>
    <w:rsid w:val="00970693"/>
    <w:rsid w:val="00972830"/>
    <w:rsid w:val="009B173C"/>
    <w:rsid w:val="009F4C63"/>
    <w:rsid w:val="009F7C07"/>
    <w:rsid w:val="00A87CCC"/>
    <w:rsid w:val="00AD71F2"/>
    <w:rsid w:val="00AE3867"/>
    <w:rsid w:val="00B0063D"/>
    <w:rsid w:val="00B060C5"/>
    <w:rsid w:val="00B644F9"/>
    <w:rsid w:val="00B7667D"/>
    <w:rsid w:val="00BC3983"/>
    <w:rsid w:val="00C21728"/>
    <w:rsid w:val="00C761E5"/>
    <w:rsid w:val="00C830CC"/>
    <w:rsid w:val="00CA3FFF"/>
    <w:rsid w:val="00D2287B"/>
    <w:rsid w:val="00D657E4"/>
    <w:rsid w:val="00D90C4D"/>
    <w:rsid w:val="00E52B5E"/>
    <w:rsid w:val="00E578C9"/>
    <w:rsid w:val="00E747BC"/>
    <w:rsid w:val="00EA4597"/>
    <w:rsid w:val="00EC3EE0"/>
    <w:rsid w:val="00F216DE"/>
    <w:rsid w:val="00F225F9"/>
    <w:rsid w:val="00F403A7"/>
    <w:rsid w:val="00F41174"/>
    <w:rsid w:val="00F5571D"/>
    <w:rsid w:val="00FA2CCD"/>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iscilacacola.com" TargetMode="External"/><Relationship Id="rId12" Type="http://schemas.openxmlformats.org/officeDocument/2006/relationships/hyperlink" Target="http://www.uta.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hyperlink" Target="mailto:cacola@uta.edu" TargetMode="Externa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eb.uta.edu/ses/fao" TargetMode="External"/><Relationship Id="rId4" Type="http://schemas.openxmlformats.org/officeDocument/2006/relationships/settings" Target="settings.xml"/><Relationship Id="rId9" Type="http://schemas.openxmlformats.org/officeDocument/2006/relationships/hyperlink" Target="http://www.uta.edu/gradcatalog/2012/general/regulations/"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9</cp:revision>
  <cp:lastPrinted>2015-08-25T17:39:00Z</cp:lastPrinted>
  <dcterms:created xsi:type="dcterms:W3CDTF">2016-01-17T20:56:00Z</dcterms:created>
  <dcterms:modified xsi:type="dcterms:W3CDTF">2016-01-17T21:10:00Z</dcterms:modified>
</cp:coreProperties>
</file>