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44135" w14:textId="3DEC94AB" w:rsidR="00062615" w:rsidRPr="000D4587" w:rsidRDefault="00062615" w:rsidP="00062615">
      <w:pPr>
        <w:rPr>
          <w:b/>
        </w:rPr>
      </w:pPr>
      <w:r w:rsidRPr="000D4587">
        <w:rPr>
          <w:b/>
        </w:rPr>
        <w:t xml:space="preserve">ENGL 6360: Topics in Feminist Criticism—“Beauvoir to </w:t>
      </w:r>
      <w:r w:rsidR="00110254">
        <w:rPr>
          <w:b/>
        </w:rPr>
        <w:t xml:space="preserve">Butler, </w:t>
      </w:r>
      <w:proofErr w:type="spellStart"/>
      <w:r w:rsidRPr="000D4587">
        <w:rPr>
          <w:b/>
        </w:rPr>
        <w:t>Bordo</w:t>
      </w:r>
      <w:proofErr w:type="spellEnd"/>
      <w:r w:rsidR="00110254">
        <w:rPr>
          <w:b/>
        </w:rPr>
        <w:t>,</w:t>
      </w:r>
      <w:r w:rsidRPr="000D4587">
        <w:rPr>
          <w:b/>
        </w:rPr>
        <w:t xml:space="preserve"> and Beyond”</w:t>
      </w:r>
    </w:p>
    <w:p w14:paraId="6BF66013" w14:textId="77777777" w:rsidR="00062615" w:rsidRDefault="00062615" w:rsidP="00062615">
      <w:pPr>
        <w:autoSpaceDE w:val="0"/>
        <w:autoSpaceDN w:val="0"/>
        <w:adjustRightInd w:val="0"/>
        <w:rPr>
          <w:b/>
          <w:bCs/>
        </w:rPr>
      </w:pPr>
    </w:p>
    <w:p w14:paraId="65D0A03A" w14:textId="77777777" w:rsidR="00062615" w:rsidRDefault="00062615" w:rsidP="00062615">
      <w:pPr>
        <w:autoSpaceDE w:val="0"/>
        <w:autoSpaceDN w:val="0"/>
        <w:adjustRightInd w:val="0"/>
        <w:rPr>
          <w:bCs/>
        </w:rPr>
      </w:pPr>
      <w:r>
        <w:rPr>
          <w:b/>
          <w:bCs/>
        </w:rPr>
        <w:t xml:space="preserve">Instructor: </w:t>
      </w:r>
      <w:r>
        <w:rPr>
          <w:bCs/>
        </w:rPr>
        <w:t>Dr. P. Ingram</w:t>
      </w:r>
      <w:r>
        <w:rPr>
          <w:bCs/>
        </w:rPr>
        <w:tab/>
      </w:r>
      <w:r>
        <w:rPr>
          <w:bCs/>
        </w:rPr>
        <w:tab/>
      </w:r>
      <w:r>
        <w:rPr>
          <w:b/>
          <w:bCs/>
        </w:rPr>
        <w:t xml:space="preserve">Semester: </w:t>
      </w:r>
      <w:r>
        <w:rPr>
          <w:bCs/>
        </w:rPr>
        <w:t>Spring 2016</w:t>
      </w:r>
    </w:p>
    <w:p w14:paraId="0F9FBD7F" w14:textId="210A8F10" w:rsidR="00062615" w:rsidRPr="000757A3" w:rsidRDefault="00062615" w:rsidP="00062615">
      <w:pPr>
        <w:autoSpaceDE w:val="0"/>
        <w:autoSpaceDN w:val="0"/>
        <w:adjustRightInd w:val="0"/>
        <w:ind w:left="2880" w:hanging="2880"/>
        <w:rPr>
          <w:bCs/>
        </w:rPr>
      </w:pPr>
      <w:r w:rsidRPr="00AE0311">
        <w:rPr>
          <w:b/>
          <w:bCs/>
        </w:rPr>
        <w:t>Office:</w:t>
      </w:r>
      <w:r w:rsidR="000D4587">
        <w:rPr>
          <w:bCs/>
        </w:rPr>
        <w:t xml:space="preserve"> 410</w:t>
      </w:r>
      <w:r>
        <w:rPr>
          <w:bCs/>
        </w:rPr>
        <w:t xml:space="preserve"> Carlisle </w:t>
      </w:r>
      <w:r>
        <w:rPr>
          <w:bCs/>
        </w:rPr>
        <w:tab/>
      </w:r>
      <w:r>
        <w:rPr>
          <w:bCs/>
        </w:rPr>
        <w:tab/>
      </w:r>
      <w:r>
        <w:rPr>
          <w:b/>
          <w:bCs/>
        </w:rPr>
        <w:t xml:space="preserve">Class Time &amp; Room: </w:t>
      </w:r>
      <w:r w:rsidR="00860177">
        <w:rPr>
          <w:bCs/>
        </w:rPr>
        <w:t>T</w:t>
      </w:r>
      <w:r>
        <w:rPr>
          <w:bCs/>
        </w:rPr>
        <w:t xml:space="preserve"> 2-4:50, CAR 212</w:t>
      </w:r>
    </w:p>
    <w:p w14:paraId="7E355E3D" w14:textId="6A692B59" w:rsidR="00062615" w:rsidRPr="00012250" w:rsidRDefault="00062615" w:rsidP="00062615">
      <w:pPr>
        <w:autoSpaceDE w:val="0"/>
        <w:autoSpaceDN w:val="0"/>
        <w:adjustRightInd w:val="0"/>
        <w:ind w:left="2880" w:hanging="2880"/>
        <w:rPr>
          <w:bCs/>
        </w:rPr>
      </w:pPr>
      <w:r>
        <w:rPr>
          <w:b/>
          <w:bCs/>
        </w:rPr>
        <w:t xml:space="preserve">Office Hours: </w:t>
      </w:r>
      <w:r w:rsidR="00110254">
        <w:rPr>
          <w:bCs/>
        </w:rPr>
        <w:t>T: 11:30-1:30</w:t>
      </w:r>
      <w:r w:rsidR="00012250">
        <w:rPr>
          <w:bCs/>
        </w:rPr>
        <w:t>pm</w:t>
      </w:r>
    </w:p>
    <w:p w14:paraId="5DCA4C83" w14:textId="77777777" w:rsidR="00062615" w:rsidRPr="00AF622A" w:rsidRDefault="00062615" w:rsidP="00012250">
      <w:pPr>
        <w:autoSpaceDE w:val="0"/>
        <w:autoSpaceDN w:val="0"/>
        <w:adjustRightInd w:val="0"/>
        <w:rPr>
          <w:bCs/>
        </w:rPr>
      </w:pPr>
      <w:r w:rsidRPr="00B47C34">
        <w:rPr>
          <w:b/>
        </w:rPr>
        <w:t xml:space="preserve">Email: </w:t>
      </w:r>
      <w:r w:rsidRPr="00B47C34">
        <w:t>pingram@uta.edu</w:t>
      </w:r>
      <w:r>
        <w:tab/>
        <w:t xml:space="preserve">         </w:t>
      </w:r>
    </w:p>
    <w:p w14:paraId="34E6194E" w14:textId="77777777" w:rsidR="00062615" w:rsidRDefault="00062615" w:rsidP="00062615">
      <w:pPr>
        <w:rPr>
          <w:rFonts w:ascii="Palatino" w:hAnsi="Palatino"/>
          <w:b/>
          <w:color w:val="000000"/>
        </w:rPr>
      </w:pPr>
    </w:p>
    <w:p w14:paraId="7A658565" w14:textId="77777777" w:rsidR="00062615" w:rsidRDefault="00062615" w:rsidP="00062615">
      <w:pPr>
        <w:rPr>
          <w:color w:val="000000"/>
        </w:rPr>
      </w:pPr>
      <w:r>
        <w:rPr>
          <w:b/>
          <w:color w:val="000000"/>
        </w:rPr>
        <w:t>COURSE DESCRIPTION:</w:t>
      </w:r>
      <w:r w:rsidRPr="000757A3">
        <w:rPr>
          <w:color w:val="000000"/>
        </w:rPr>
        <w:t xml:space="preserve"> </w:t>
      </w:r>
    </w:p>
    <w:p w14:paraId="2143D747" w14:textId="08EEF3BE" w:rsidR="000D4587" w:rsidRDefault="00C9771E" w:rsidP="000D4587">
      <w:r>
        <w:t xml:space="preserve">This course </w:t>
      </w:r>
      <w:r w:rsidR="000D4587">
        <w:t xml:space="preserve">attempts to cover </w:t>
      </w:r>
      <w:r w:rsidR="00AB6623">
        <w:t xml:space="preserve">many of </w:t>
      </w:r>
      <w:r w:rsidR="000D4587">
        <w:t>the key issues, conversations, and debates central to feminist thought</w:t>
      </w:r>
      <w:r>
        <w:t xml:space="preserve"> of the twentieth and early twenty-first century</w:t>
      </w:r>
      <w:r w:rsidR="004338FF">
        <w:t xml:space="preserve"> in an effort to p</w:t>
      </w:r>
      <w:r w:rsidR="00AB6623">
        <w:t xml:space="preserve">rovide you with an </w:t>
      </w:r>
      <w:r w:rsidR="004338FF">
        <w:t>overview of the field of feminist theory</w:t>
      </w:r>
      <w:r>
        <w:t xml:space="preserve">. </w:t>
      </w:r>
      <w:r w:rsidR="00E93E87">
        <w:t xml:space="preserve">The course is organized thematically and </w:t>
      </w:r>
      <w:r w:rsidR="004338FF">
        <w:t>includes readings related to ra</w:t>
      </w:r>
      <w:r w:rsidR="00B02307">
        <w:t xml:space="preserve">ce, class, sexuality, </w:t>
      </w:r>
      <w:r w:rsidR="004338FF">
        <w:t>reproduction, science, and authorship. We</w:t>
      </w:r>
      <w:r w:rsidR="000844B4">
        <w:t xml:space="preserve"> will devote two weeks at </w:t>
      </w:r>
      <w:r w:rsidR="004338FF">
        <w:t>the</w:t>
      </w:r>
      <w:r w:rsidR="0068318B">
        <w:t xml:space="preserve"> end of the semester to discuss </w:t>
      </w:r>
      <w:r w:rsidR="004338FF">
        <w:t xml:space="preserve">a variety of feminist methodologies in order to help you identify and articulate your own research questions. </w:t>
      </w:r>
      <w:r w:rsidR="00A36123">
        <w:rPr>
          <w:b/>
        </w:rPr>
        <w:t xml:space="preserve">This course is </w:t>
      </w:r>
      <w:r w:rsidR="00670361">
        <w:rPr>
          <w:b/>
        </w:rPr>
        <w:t>a requirement of</w:t>
      </w:r>
      <w:r w:rsidR="004338FF" w:rsidRPr="004338FF">
        <w:rPr>
          <w:b/>
        </w:rPr>
        <w:t xml:space="preserve"> the</w:t>
      </w:r>
      <w:r w:rsidR="004338FF">
        <w:t xml:space="preserve"> </w:t>
      </w:r>
      <w:r w:rsidR="000D4587" w:rsidRPr="00FE7230">
        <w:rPr>
          <w:b/>
          <w:bCs/>
        </w:rPr>
        <w:t>Women’s and Gender Studies Graduate Ce</w:t>
      </w:r>
      <w:r w:rsidR="004338FF">
        <w:rPr>
          <w:b/>
          <w:bCs/>
        </w:rPr>
        <w:t>rtificate.</w:t>
      </w:r>
    </w:p>
    <w:p w14:paraId="146A0F34" w14:textId="77777777" w:rsidR="00C9771E" w:rsidRDefault="00C9771E" w:rsidP="00062615">
      <w:pPr>
        <w:rPr>
          <w:color w:val="000000"/>
        </w:rPr>
      </w:pPr>
    </w:p>
    <w:p w14:paraId="23BB7F82" w14:textId="77777777" w:rsidR="00062615" w:rsidRDefault="00062615" w:rsidP="00062615">
      <w:pPr>
        <w:rPr>
          <w:b/>
        </w:rPr>
      </w:pPr>
      <w:r>
        <w:rPr>
          <w:b/>
        </w:rPr>
        <w:t>STUDENT LEARNING OUTCOMES:</w:t>
      </w:r>
    </w:p>
    <w:p w14:paraId="6B1775F7" w14:textId="42B98458" w:rsidR="00062615" w:rsidRDefault="00062615" w:rsidP="00062615">
      <w:pPr>
        <w:numPr>
          <w:ilvl w:val="0"/>
          <w:numId w:val="1"/>
        </w:numPr>
        <w:tabs>
          <w:tab w:val="left" w:pos="220"/>
          <w:tab w:val="left" w:pos="720"/>
        </w:tabs>
      </w:pPr>
      <w:r>
        <w:t>To develop knowledge</w:t>
      </w:r>
      <w:r w:rsidR="0068318B">
        <w:t xml:space="preserve"> of some of the key concepts central to feminist thought of the twentieth and early twenty-first century</w:t>
      </w:r>
      <w:r w:rsidR="00012250">
        <w:t>.</w:t>
      </w:r>
    </w:p>
    <w:p w14:paraId="3F8AFC85" w14:textId="370D2B03" w:rsidR="003364AD" w:rsidRDefault="00062615" w:rsidP="00062615">
      <w:pPr>
        <w:numPr>
          <w:ilvl w:val="0"/>
          <w:numId w:val="1"/>
        </w:numPr>
        <w:tabs>
          <w:tab w:val="left" w:pos="220"/>
          <w:tab w:val="left" w:pos="720"/>
        </w:tabs>
      </w:pPr>
      <w:r>
        <w:t xml:space="preserve">To </w:t>
      </w:r>
      <w:r w:rsidR="009B3536">
        <w:t xml:space="preserve">learn </w:t>
      </w:r>
      <w:r w:rsidR="00012250">
        <w:t xml:space="preserve">a </w:t>
      </w:r>
      <w:r w:rsidR="003364AD">
        <w:t>v</w:t>
      </w:r>
      <w:r w:rsidR="00670361">
        <w:t xml:space="preserve">ariety of </w:t>
      </w:r>
      <w:r w:rsidR="00980390">
        <w:t xml:space="preserve">methods employed by feminist researchers </w:t>
      </w:r>
      <w:r w:rsidR="003364AD">
        <w:t>to produce knowledge about our worl</w:t>
      </w:r>
      <w:r w:rsidR="00012250">
        <w:t xml:space="preserve">d, such as </w:t>
      </w:r>
      <w:r w:rsidR="003364AD">
        <w:t>empiricism, standpoint theory, ethnography, and post-structuralism</w:t>
      </w:r>
      <w:r w:rsidR="00012250">
        <w:t>.</w:t>
      </w:r>
      <w:r w:rsidR="003364AD">
        <w:t xml:space="preserve"> </w:t>
      </w:r>
    </w:p>
    <w:p w14:paraId="7E157977" w14:textId="547CF924" w:rsidR="00062615" w:rsidRDefault="003364AD" w:rsidP="00062615">
      <w:pPr>
        <w:numPr>
          <w:ilvl w:val="0"/>
          <w:numId w:val="1"/>
        </w:numPr>
        <w:tabs>
          <w:tab w:val="left" w:pos="220"/>
          <w:tab w:val="left" w:pos="720"/>
        </w:tabs>
      </w:pPr>
      <w:r>
        <w:t>To recognize and understand how such</w:t>
      </w:r>
      <w:r w:rsidR="009B3536">
        <w:t xml:space="preserve"> methodologies </w:t>
      </w:r>
      <w:r w:rsidR="00012250">
        <w:t xml:space="preserve">can be utilized </w:t>
      </w:r>
      <w:r w:rsidR="009B3536">
        <w:t>in your own research</w:t>
      </w:r>
      <w:r w:rsidR="00012250">
        <w:t xml:space="preserve">. </w:t>
      </w:r>
      <w:r w:rsidR="009B3536">
        <w:t xml:space="preserve"> </w:t>
      </w:r>
    </w:p>
    <w:p w14:paraId="348051A9" w14:textId="77777777" w:rsidR="00062615" w:rsidRDefault="00062615" w:rsidP="00062615">
      <w:pPr>
        <w:tabs>
          <w:tab w:val="left" w:pos="220"/>
          <w:tab w:val="left" w:pos="720"/>
        </w:tabs>
        <w:ind w:left="940"/>
        <w:rPr>
          <w:b/>
        </w:rPr>
      </w:pPr>
    </w:p>
    <w:p w14:paraId="39C98C86" w14:textId="77777777" w:rsidR="00062615" w:rsidRDefault="00062615" w:rsidP="00062615">
      <w:pPr>
        <w:rPr>
          <w:b/>
        </w:rPr>
      </w:pPr>
      <w:r>
        <w:rPr>
          <w:b/>
        </w:rPr>
        <w:t>T</w:t>
      </w:r>
      <w:r w:rsidRPr="00B47C34">
        <w:rPr>
          <w:b/>
        </w:rPr>
        <w:t>EXTS:</w:t>
      </w:r>
      <w:r w:rsidRPr="00F951E4">
        <w:rPr>
          <w:b/>
        </w:rPr>
        <w:t xml:space="preserve"> </w:t>
      </w:r>
    </w:p>
    <w:p w14:paraId="0420B924" w14:textId="22456643" w:rsidR="00062615" w:rsidRDefault="00062615" w:rsidP="00062615">
      <w:r>
        <w:t>R</w:t>
      </w:r>
      <w:r w:rsidRPr="00DF00D4">
        <w:rPr>
          <w:b/>
        </w:rPr>
        <w:t>equired</w:t>
      </w:r>
      <w:r>
        <w:t>:</w:t>
      </w:r>
      <w:r>
        <w:cr/>
      </w:r>
      <w:r w:rsidR="00012250">
        <w:t xml:space="preserve">Tina Chanter, </w:t>
      </w:r>
      <w:r w:rsidR="00012250">
        <w:rPr>
          <w:i/>
        </w:rPr>
        <w:t xml:space="preserve">Gender: Key </w:t>
      </w:r>
      <w:r w:rsidR="00AB6623">
        <w:rPr>
          <w:i/>
        </w:rPr>
        <w:t>Concepts in Philosophy</w:t>
      </w:r>
      <w:r w:rsidR="00AB6623">
        <w:t xml:space="preserve">. </w:t>
      </w:r>
      <w:proofErr w:type="gramStart"/>
      <w:r w:rsidR="00AB6623">
        <w:t>Continuum Press, 2006.</w:t>
      </w:r>
      <w:proofErr w:type="gramEnd"/>
    </w:p>
    <w:p w14:paraId="766B3FFD" w14:textId="5FB5662F" w:rsidR="00062615" w:rsidRPr="00AB6623" w:rsidRDefault="00AB6623" w:rsidP="00062615">
      <w:proofErr w:type="gramStart"/>
      <w:r>
        <w:t xml:space="preserve">Kolmar and </w:t>
      </w:r>
      <w:proofErr w:type="spellStart"/>
      <w:r>
        <w:t>Bartkowski</w:t>
      </w:r>
      <w:proofErr w:type="spellEnd"/>
      <w:r>
        <w:t xml:space="preserve">, </w:t>
      </w:r>
      <w:r>
        <w:rPr>
          <w:i/>
        </w:rPr>
        <w:t>Feminist Theory: A Reader</w:t>
      </w:r>
      <w:r>
        <w:t>, 3</w:t>
      </w:r>
      <w:r w:rsidRPr="00AB6623">
        <w:rPr>
          <w:vertAlign w:val="superscript"/>
        </w:rPr>
        <w:t>rd</w:t>
      </w:r>
      <w:r>
        <w:t xml:space="preserve"> or 4</w:t>
      </w:r>
      <w:r w:rsidRPr="00AB6623">
        <w:rPr>
          <w:vertAlign w:val="superscript"/>
        </w:rPr>
        <w:t>th</w:t>
      </w:r>
      <w:r>
        <w:t xml:space="preserve"> edition.</w:t>
      </w:r>
      <w:proofErr w:type="gramEnd"/>
      <w:r>
        <w:t xml:space="preserve"> McGraw Hill, 2010, 2014.</w:t>
      </w:r>
      <w:r w:rsidR="00AB6CE7">
        <w:t xml:space="preserve"> (Reading #s below relate to the 4</w:t>
      </w:r>
      <w:r w:rsidR="00AB6CE7" w:rsidRPr="00AB6CE7">
        <w:rPr>
          <w:vertAlign w:val="superscript"/>
        </w:rPr>
        <w:t>th</w:t>
      </w:r>
      <w:r w:rsidR="00AB6CE7">
        <w:t xml:space="preserve"> edition)</w:t>
      </w:r>
    </w:p>
    <w:p w14:paraId="337F693B" w14:textId="77777777" w:rsidR="00062615" w:rsidRDefault="00062615" w:rsidP="00062615"/>
    <w:p w14:paraId="39F4DA8B" w14:textId="77777777" w:rsidR="00062615" w:rsidRDefault="00062615" w:rsidP="00062615">
      <w:pPr>
        <w:rPr>
          <w:b/>
        </w:rPr>
      </w:pPr>
      <w:r>
        <w:rPr>
          <w:b/>
        </w:rPr>
        <w:t>REQUIREMENTS:</w:t>
      </w:r>
    </w:p>
    <w:p w14:paraId="0170E5BC" w14:textId="505F098A" w:rsidR="00062615" w:rsidRDefault="00062615" w:rsidP="00062615">
      <w:r>
        <w:t>Pa</w:t>
      </w:r>
      <w:r w:rsidR="00AB6623">
        <w:t>rticipation and (2) presentations: 2</w:t>
      </w:r>
      <w:r>
        <w:t>0%</w:t>
      </w:r>
    </w:p>
    <w:p w14:paraId="632A0B9A" w14:textId="2323649D" w:rsidR="00062615" w:rsidRDefault="00AB6623" w:rsidP="00062615">
      <w:r>
        <w:t>7 short (3 page) papers: 35%</w:t>
      </w:r>
    </w:p>
    <w:p w14:paraId="2C4AFF3C" w14:textId="4B2E7583" w:rsidR="00AB6623" w:rsidRDefault="00AB6623" w:rsidP="00062615">
      <w:r>
        <w:t>1 longer (8-10 page) paper: 25%</w:t>
      </w:r>
    </w:p>
    <w:p w14:paraId="5F0BF686" w14:textId="77777777" w:rsidR="00062615" w:rsidRPr="007400BA" w:rsidRDefault="00062615" w:rsidP="00062615">
      <w:r>
        <w:t xml:space="preserve">Final exam: 20% </w:t>
      </w:r>
    </w:p>
    <w:p w14:paraId="68FD6757" w14:textId="77777777" w:rsidR="00062615" w:rsidRDefault="00062615" w:rsidP="00062615">
      <w:pPr>
        <w:rPr>
          <w:b/>
        </w:rPr>
      </w:pPr>
    </w:p>
    <w:p w14:paraId="5C726DB0" w14:textId="77777777" w:rsidR="00062615" w:rsidRDefault="00062615" w:rsidP="00062615">
      <w:r>
        <w:rPr>
          <w:b/>
        </w:rPr>
        <w:t>Grading Scale:</w:t>
      </w:r>
      <w:r>
        <w:rPr>
          <w:b/>
        </w:rPr>
        <w:cr/>
      </w:r>
      <w:r>
        <w:t>A= 90-100</w:t>
      </w:r>
      <w:r>
        <w:tab/>
        <w:t>D= 60-69</w:t>
      </w:r>
      <w:r>
        <w:rPr>
          <w:b/>
        </w:rPr>
        <w:cr/>
      </w:r>
      <w:r>
        <w:t>B= 80-89</w:t>
      </w:r>
      <w:r>
        <w:tab/>
        <w:t>F= 59 and below</w:t>
      </w:r>
    </w:p>
    <w:p w14:paraId="2CE6E729" w14:textId="77777777" w:rsidR="00062615" w:rsidRDefault="00062615" w:rsidP="00062615">
      <w:r>
        <w:t>C= 70-79</w:t>
      </w:r>
      <w:r>
        <w:cr/>
      </w:r>
    </w:p>
    <w:p w14:paraId="0BF5FFD4" w14:textId="77777777" w:rsidR="009F1176" w:rsidRDefault="009F1176" w:rsidP="00062615">
      <w:pPr>
        <w:rPr>
          <w:b/>
        </w:rPr>
      </w:pPr>
    </w:p>
    <w:p w14:paraId="77640D67" w14:textId="77777777" w:rsidR="009F1176" w:rsidRDefault="009F1176" w:rsidP="00062615">
      <w:pPr>
        <w:rPr>
          <w:b/>
        </w:rPr>
      </w:pPr>
    </w:p>
    <w:p w14:paraId="54631AC2" w14:textId="77777777" w:rsidR="009F1176" w:rsidRDefault="009F1176" w:rsidP="00062615">
      <w:pPr>
        <w:rPr>
          <w:b/>
        </w:rPr>
      </w:pPr>
    </w:p>
    <w:p w14:paraId="313ECACA" w14:textId="77777777" w:rsidR="00062615" w:rsidRDefault="00062615" w:rsidP="00062615">
      <w:pPr>
        <w:rPr>
          <w:b/>
        </w:rPr>
      </w:pPr>
      <w:r>
        <w:rPr>
          <w:b/>
        </w:rPr>
        <w:t>Papers</w:t>
      </w:r>
    </w:p>
    <w:p w14:paraId="1512ED3C" w14:textId="314E928A" w:rsidR="00AB6623" w:rsidRPr="00A36123" w:rsidRDefault="00AB6623" w:rsidP="00062615">
      <w:pPr>
        <w:rPr>
          <w:color w:val="0000FF"/>
        </w:rPr>
      </w:pPr>
      <w:r w:rsidRPr="00A36123">
        <w:rPr>
          <w:color w:val="0000FF"/>
        </w:rPr>
        <w:t>Short papers</w:t>
      </w:r>
      <w:r w:rsidR="000C51EF">
        <w:rPr>
          <w:color w:val="0000FF"/>
        </w:rPr>
        <w:t xml:space="preserve"> (3 </w:t>
      </w:r>
      <w:r w:rsidR="00AA34CD">
        <w:rPr>
          <w:color w:val="0000FF"/>
        </w:rPr>
        <w:t xml:space="preserve">double-spaced </w:t>
      </w:r>
      <w:r w:rsidR="000C51EF">
        <w:rPr>
          <w:color w:val="0000FF"/>
        </w:rPr>
        <w:t>pages)</w:t>
      </w:r>
    </w:p>
    <w:p w14:paraId="00C41A83" w14:textId="77777777" w:rsidR="00EE7FA3" w:rsidRDefault="00062615" w:rsidP="00062615">
      <w:r>
        <w:t xml:space="preserve">During the course </w:t>
      </w:r>
      <w:r w:rsidR="00AB6623">
        <w:t>of the semester you will write 7</w:t>
      </w:r>
      <w:r w:rsidR="00EE7FA3">
        <w:t xml:space="preserve"> (</w:t>
      </w:r>
      <w:r w:rsidR="00AA34CD">
        <w:t>3-page</w:t>
      </w:r>
      <w:r w:rsidR="00EE7FA3">
        <w:t>)</w:t>
      </w:r>
      <w:r w:rsidR="00AA34CD">
        <w:t xml:space="preserve"> papers</w:t>
      </w:r>
      <w:r w:rsidR="00050571">
        <w:t>.</w:t>
      </w:r>
      <w:r w:rsidRPr="00050571">
        <w:rPr>
          <w:color w:val="FF0000"/>
        </w:rPr>
        <w:t xml:space="preserve"> This means you do not have to write a paper every week </w:t>
      </w:r>
      <w:r w:rsidRPr="00050571">
        <w:rPr>
          <w:color w:val="FF0000"/>
        </w:rPr>
        <w:sym w:font="Wingdings" w:char="F04A"/>
      </w:r>
      <w:r w:rsidRPr="00A36123">
        <w:rPr>
          <w:color w:val="8064A2" w:themeColor="accent4"/>
        </w:rPr>
        <w:t>.</w:t>
      </w:r>
      <w:r>
        <w:t xml:space="preserve"> </w:t>
      </w:r>
    </w:p>
    <w:p w14:paraId="50283F7D" w14:textId="77777777" w:rsidR="00D577B6" w:rsidRDefault="00D577B6" w:rsidP="006527B3">
      <w:r>
        <w:t xml:space="preserve">Papers should be submitted via </w:t>
      </w:r>
      <w:r w:rsidR="00670361">
        <w:t xml:space="preserve">BB on the week the readings are due. </w:t>
      </w:r>
    </w:p>
    <w:p w14:paraId="4EB86AAD" w14:textId="77777777" w:rsidR="00D577B6" w:rsidRDefault="00D577B6" w:rsidP="006527B3"/>
    <w:p w14:paraId="203CDE01" w14:textId="13E15C52" w:rsidR="006527B3" w:rsidRPr="006527B3" w:rsidRDefault="00670361" w:rsidP="006527B3">
      <w:r w:rsidRPr="00EE7FA3">
        <w:rPr>
          <w:highlight w:val="green"/>
        </w:rPr>
        <w:t xml:space="preserve">You may not </w:t>
      </w:r>
      <w:r w:rsidR="00E33517" w:rsidRPr="00EE7FA3">
        <w:rPr>
          <w:highlight w:val="green"/>
        </w:rPr>
        <w:t xml:space="preserve">submit papers before or after the due date of the </w:t>
      </w:r>
      <w:r w:rsidRPr="00EE7FA3">
        <w:rPr>
          <w:highlight w:val="green"/>
        </w:rPr>
        <w:t xml:space="preserve">work </w:t>
      </w:r>
      <w:r w:rsidR="00813EAF">
        <w:rPr>
          <w:highlight w:val="green"/>
        </w:rPr>
        <w:t>assigned, except in the case</w:t>
      </w:r>
      <w:r w:rsidR="006527B3">
        <w:rPr>
          <w:highlight w:val="green"/>
        </w:rPr>
        <w:t xml:space="preserve"> of the longer paper. See below</w:t>
      </w:r>
      <w:r w:rsidR="00D577B6">
        <w:t>.</w:t>
      </w:r>
    </w:p>
    <w:p w14:paraId="07281D0E" w14:textId="77777777" w:rsidR="00AA34CD" w:rsidRDefault="00AA34CD" w:rsidP="00AA34CD">
      <w:pPr>
        <w:rPr>
          <w:b/>
        </w:rPr>
      </w:pPr>
    </w:p>
    <w:p w14:paraId="432FE03C" w14:textId="77777777" w:rsidR="00AA34CD" w:rsidRPr="00AA34CD" w:rsidRDefault="00A36123" w:rsidP="00AA34CD">
      <w:pPr>
        <w:rPr>
          <w:b/>
        </w:rPr>
      </w:pPr>
      <w:r w:rsidRPr="00AA34CD">
        <w:rPr>
          <w:b/>
        </w:rPr>
        <w:t xml:space="preserve">Your paper should </w:t>
      </w:r>
    </w:p>
    <w:p w14:paraId="7A9361F4" w14:textId="51B4D6BF" w:rsidR="001E4EB8" w:rsidRDefault="00EE7FA3" w:rsidP="00AA34CD">
      <w:pPr>
        <w:pStyle w:val="ListParagraph"/>
        <w:numPr>
          <w:ilvl w:val="0"/>
          <w:numId w:val="5"/>
        </w:numPr>
      </w:pPr>
      <w:r>
        <w:t>Analyze</w:t>
      </w:r>
      <w:r w:rsidR="00AA34CD">
        <w:t xml:space="preserve"> and interpret</w:t>
      </w:r>
      <w:r w:rsidR="00064AE5" w:rsidRPr="00AA34CD">
        <w:rPr>
          <w:i/>
        </w:rPr>
        <w:t xml:space="preserve"> three</w:t>
      </w:r>
      <w:r w:rsidR="00064AE5">
        <w:t xml:space="preserve"> of </w:t>
      </w:r>
      <w:r w:rsidR="00A36123">
        <w:t>the readings for the week</w:t>
      </w:r>
      <w:r w:rsidR="00064AE5">
        <w:t>,</w:t>
      </w:r>
      <w:r w:rsidR="00A36123">
        <w:t xml:space="preserve"> paying attention to the methods, assumptions, and aims of the essays. </w:t>
      </w:r>
      <w:r>
        <w:t>(You should briefly summarize each argument.)</w:t>
      </w:r>
    </w:p>
    <w:p w14:paraId="4C7B1D5F" w14:textId="70134F20" w:rsidR="00AA34CD" w:rsidRDefault="00EE7FA3" w:rsidP="00AA34CD">
      <w:pPr>
        <w:pStyle w:val="ListParagraph"/>
        <w:numPr>
          <w:ilvl w:val="0"/>
          <w:numId w:val="5"/>
        </w:numPr>
      </w:pPr>
      <w:r w:rsidRPr="00AA34CD">
        <w:rPr>
          <w:i/>
        </w:rPr>
        <w:t>Bring into dialogue</w:t>
      </w:r>
      <w:r>
        <w:t xml:space="preserve"> the key points raised in each essay and determine how the </w:t>
      </w:r>
      <w:r w:rsidR="00AA34CD">
        <w:t>differences shape the argument in question.</w:t>
      </w:r>
      <w:r>
        <w:t xml:space="preserve"> </w:t>
      </w:r>
    </w:p>
    <w:p w14:paraId="71574477" w14:textId="77777777" w:rsidR="00050571" w:rsidRDefault="00050571" w:rsidP="00062615"/>
    <w:p w14:paraId="7A9FC747" w14:textId="384A1A8B" w:rsidR="00FD6014" w:rsidRPr="00FD6014" w:rsidRDefault="001E4EB8" w:rsidP="00FD6014">
      <w:pPr>
        <w:rPr>
          <w:b/>
        </w:rPr>
      </w:pPr>
      <w:r>
        <w:rPr>
          <w:b/>
        </w:rPr>
        <w:t>Please note:</w:t>
      </w:r>
    </w:p>
    <w:p w14:paraId="48D14681" w14:textId="625FA011" w:rsidR="00064AE5" w:rsidRPr="001C5089" w:rsidRDefault="00064AE5" w:rsidP="00064AE5">
      <w:pPr>
        <w:pStyle w:val="ListParagraph"/>
        <w:numPr>
          <w:ilvl w:val="0"/>
          <w:numId w:val="4"/>
        </w:numPr>
      </w:pPr>
      <w:r w:rsidRPr="001C5089">
        <w:t xml:space="preserve">You </w:t>
      </w:r>
      <w:r w:rsidRPr="001C5089">
        <w:rPr>
          <w:b/>
        </w:rPr>
        <w:t>must use at least three of the assigned readings</w:t>
      </w:r>
      <w:r w:rsidRPr="001C5089">
        <w:t xml:space="preserve"> for the week.</w:t>
      </w:r>
    </w:p>
    <w:p w14:paraId="260F6DE7" w14:textId="6208BEF9" w:rsidR="00064AE5" w:rsidRPr="001C5089" w:rsidRDefault="00064AE5" w:rsidP="00062615">
      <w:pPr>
        <w:pStyle w:val="ListParagraph"/>
        <w:numPr>
          <w:ilvl w:val="0"/>
          <w:numId w:val="4"/>
        </w:numPr>
      </w:pPr>
      <w:r w:rsidRPr="001C5089">
        <w:t xml:space="preserve">Chapters from </w:t>
      </w:r>
      <w:r w:rsidRPr="001C5089">
        <w:rPr>
          <w:b/>
        </w:rPr>
        <w:t xml:space="preserve">Chanter’s book </w:t>
      </w:r>
      <w:r w:rsidRPr="001C5089">
        <w:rPr>
          <w:b/>
          <w:i/>
        </w:rPr>
        <w:t>cannot</w:t>
      </w:r>
      <w:r w:rsidRPr="001C5089">
        <w:rPr>
          <w:b/>
        </w:rPr>
        <w:t xml:space="preserve"> be included</w:t>
      </w:r>
      <w:r w:rsidRPr="001C5089">
        <w:t xml:space="preserve"> as one of your</w:t>
      </w:r>
      <w:r w:rsidR="001E4EB8" w:rsidRPr="001C5089">
        <w:t xml:space="preserve"> three, </w:t>
      </w:r>
      <w:r w:rsidR="001C5089" w:rsidRPr="001C5089">
        <w:rPr>
          <w:b/>
        </w:rPr>
        <w:t>unless</w:t>
      </w:r>
      <w:r w:rsidR="001C5089" w:rsidRPr="001C5089">
        <w:t xml:space="preserve"> </w:t>
      </w:r>
      <w:r w:rsidR="001C5089">
        <w:t>there are only two</w:t>
      </w:r>
      <w:r w:rsidR="001C5089" w:rsidRPr="001C5089">
        <w:t xml:space="preserve"> other assigned readings that week.  However, </w:t>
      </w:r>
      <w:r w:rsidR="00EE7FA3">
        <w:t xml:space="preserve">in any of your papers, </w:t>
      </w:r>
      <w:r w:rsidR="001C5089" w:rsidRPr="001C5089">
        <w:t>y</w:t>
      </w:r>
      <w:r w:rsidR="001E4EB8" w:rsidRPr="001C5089">
        <w:t xml:space="preserve">ou may incorporate her ideas </w:t>
      </w:r>
      <w:r w:rsidRPr="001C5089">
        <w:t>where relevant to your discussion of the other essays</w:t>
      </w:r>
      <w:r w:rsidR="00EE7FA3">
        <w:t>.</w:t>
      </w:r>
    </w:p>
    <w:p w14:paraId="323DBA15" w14:textId="77777777" w:rsidR="001E4EB8" w:rsidRDefault="001E4EB8" w:rsidP="00062615"/>
    <w:p w14:paraId="05187D51" w14:textId="6D9C982B" w:rsidR="001E4EB8" w:rsidRPr="00B551F0" w:rsidRDefault="00FD6014" w:rsidP="00062615">
      <w:pPr>
        <w:rPr>
          <w:b/>
        </w:rPr>
      </w:pPr>
      <w:r w:rsidRPr="000511FD">
        <w:rPr>
          <w:color w:val="0000FF"/>
        </w:rPr>
        <w:t>Longer Paper</w:t>
      </w:r>
      <w:r w:rsidR="00B1728E">
        <w:rPr>
          <w:color w:val="0000FF"/>
        </w:rPr>
        <w:t xml:space="preserve"> (8-10 pages)</w:t>
      </w:r>
      <w:r w:rsidR="00B551F0">
        <w:rPr>
          <w:color w:val="0000FF"/>
        </w:rPr>
        <w:t xml:space="preserve"> </w:t>
      </w:r>
      <w:r w:rsidR="00B551F0">
        <w:rPr>
          <w:b/>
        </w:rPr>
        <w:t>DUE 3/22</w:t>
      </w:r>
    </w:p>
    <w:p w14:paraId="3B2913C3" w14:textId="105C038D" w:rsidR="00B551F0" w:rsidRDefault="000C51EF" w:rsidP="00062615">
      <w:r>
        <w:t xml:space="preserve">This paper is intended to give you the opportunity to examine in more detail one of the areas </w:t>
      </w:r>
      <w:r w:rsidR="00B1728E">
        <w:t>of feminist research being studied in the class</w:t>
      </w:r>
      <w:r w:rsidR="008D16E1">
        <w:t xml:space="preserve"> </w:t>
      </w:r>
      <w:r w:rsidR="008D16E1" w:rsidRPr="008D16E1">
        <w:rPr>
          <w:b/>
        </w:rPr>
        <w:t xml:space="preserve">(Marxism, </w:t>
      </w:r>
      <w:proofErr w:type="spellStart"/>
      <w:r w:rsidR="008D16E1" w:rsidRPr="008D16E1">
        <w:rPr>
          <w:b/>
        </w:rPr>
        <w:t>Intersectionality</w:t>
      </w:r>
      <w:proofErr w:type="spellEnd"/>
      <w:r w:rsidR="008D16E1" w:rsidRPr="008D16E1">
        <w:rPr>
          <w:b/>
        </w:rPr>
        <w:t xml:space="preserve">, Sexuality, Bodies, </w:t>
      </w:r>
      <w:r w:rsidR="00813EAF">
        <w:rPr>
          <w:b/>
        </w:rPr>
        <w:t xml:space="preserve">Psychoanalysis, </w:t>
      </w:r>
      <w:r w:rsidR="008D16E1" w:rsidRPr="008D16E1">
        <w:rPr>
          <w:b/>
        </w:rPr>
        <w:t xml:space="preserve">Science, </w:t>
      </w:r>
      <w:r w:rsidR="008D16E1">
        <w:rPr>
          <w:b/>
        </w:rPr>
        <w:t xml:space="preserve">Reproduction </w:t>
      </w:r>
      <w:r w:rsidR="008D16E1" w:rsidRPr="008D16E1">
        <w:rPr>
          <w:b/>
        </w:rPr>
        <w:t>etc.)</w:t>
      </w:r>
      <w:r w:rsidR="0078063F">
        <w:t xml:space="preserve"> You should use the assi</w:t>
      </w:r>
      <w:r w:rsidR="008D16E1">
        <w:t xml:space="preserve">gned articles as a starting </w:t>
      </w:r>
      <w:r w:rsidR="0078063F">
        <w:t>point</w:t>
      </w:r>
      <w:r w:rsidR="00E33517">
        <w:t xml:space="preserve"> to research the topic further, including researching the work of other scholars in your chosen are</w:t>
      </w:r>
      <w:r w:rsidR="008D16E1">
        <w:t xml:space="preserve">a. There is no specific prompt; rather </w:t>
      </w:r>
      <w:r w:rsidR="00E33517">
        <w:t xml:space="preserve">you should identify your own thesis from the research you find. What’s interesting to you about the work scholars are doing in this area? What questions, assumptions, or </w:t>
      </w:r>
      <w:r w:rsidR="008D16E1">
        <w:t xml:space="preserve">limitations does their research suggest to you? </w:t>
      </w:r>
    </w:p>
    <w:p w14:paraId="76AF3B64" w14:textId="31E7EC31" w:rsidR="00FD6014" w:rsidRPr="000C51EF" w:rsidRDefault="00B551F0" w:rsidP="00062615">
      <w:r w:rsidRPr="00B551F0">
        <w:rPr>
          <w:highlight w:val="green"/>
        </w:rPr>
        <w:t>Avoid a simple summary of the research. You will need an argument related to the material.</w:t>
      </w:r>
    </w:p>
    <w:p w14:paraId="15C46D0A" w14:textId="256461EE" w:rsidR="00FD6014" w:rsidRDefault="00813EAF" w:rsidP="00062615">
      <w:pPr>
        <w:rPr>
          <w:color w:val="3366FF"/>
        </w:rPr>
      </w:pPr>
      <w:r>
        <w:rPr>
          <w:color w:val="3366FF"/>
        </w:rPr>
        <w:t xml:space="preserve">This paper is due in the middle of the semester, so we will not have covered every topic; however, any of the research areas on the syllabus can be utilized for this assignment. </w:t>
      </w:r>
    </w:p>
    <w:p w14:paraId="2B97E210" w14:textId="77777777" w:rsidR="00FD6014" w:rsidRPr="00FD6014" w:rsidRDefault="00FD6014" w:rsidP="00062615">
      <w:pPr>
        <w:rPr>
          <w:color w:val="3366FF"/>
        </w:rPr>
      </w:pPr>
    </w:p>
    <w:p w14:paraId="30058C67" w14:textId="0DE91566" w:rsidR="001E4EB8" w:rsidRPr="00FD6014" w:rsidRDefault="001C5089" w:rsidP="00062615">
      <w:pPr>
        <w:rPr>
          <w:b/>
        </w:rPr>
      </w:pPr>
      <w:r>
        <w:rPr>
          <w:b/>
        </w:rPr>
        <w:t>Presentations</w:t>
      </w:r>
    </w:p>
    <w:p w14:paraId="66F40615" w14:textId="4A77D693" w:rsidR="00062615" w:rsidRPr="008F147B" w:rsidRDefault="00062615" w:rsidP="001C5089">
      <w:r>
        <w:t xml:space="preserve">You are required to deliver </w:t>
      </w:r>
      <w:r w:rsidR="00FD6014">
        <w:t>two presentations on two different readings during the course of the semester</w:t>
      </w:r>
      <w:r>
        <w:t xml:space="preserve">. The formal part of the presentation should last for </w:t>
      </w:r>
      <w:r w:rsidR="001C5089">
        <w:rPr>
          <w:b/>
        </w:rPr>
        <w:t>2</w:t>
      </w:r>
      <w:r w:rsidRPr="00833AB0">
        <w:rPr>
          <w:b/>
        </w:rPr>
        <w:t>0 minutes</w:t>
      </w:r>
      <w:r>
        <w:t xml:space="preserve">, </w:t>
      </w:r>
      <w:r w:rsidR="001C5089">
        <w:t>and must include discussion questions for the class.</w:t>
      </w:r>
    </w:p>
    <w:p w14:paraId="3A9A3F27" w14:textId="77777777" w:rsidR="00062615" w:rsidRPr="008F147B" w:rsidRDefault="00062615" w:rsidP="00062615">
      <w:pPr>
        <w:rPr>
          <w:b/>
        </w:rPr>
      </w:pPr>
    </w:p>
    <w:p w14:paraId="4A7587BF" w14:textId="64B7E87C" w:rsidR="00062615" w:rsidRDefault="00062615" w:rsidP="00062615">
      <w:pPr>
        <w:numPr>
          <w:ilvl w:val="0"/>
          <w:numId w:val="2"/>
        </w:numPr>
      </w:pPr>
      <w:r>
        <w:t xml:space="preserve">You should provide an in-depth examination of </w:t>
      </w:r>
      <w:r w:rsidRPr="007A63EC">
        <w:rPr>
          <w:b/>
        </w:rPr>
        <w:t>one</w:t>
      </w:r>
      <w:r>
        <w:rPr>
          <w:b/>
        </w:rPr>
        <w:t xml:space="preserve"> </w:t>
      </w:r>
      <w:r>
        <w:t xml:space="preserve">of the week’s essays. </w:t>
      </w:r>
      <w:r w:rsidR="00FD6014">
        <w:t xml:space="preserve">(Other people will be presenting on other readings for the week, so make sure you stick to your own essay.) </w:t>
      </w:r>
      <w:r>
        <w:t>You should provide a summary of the essay and then examine the implications of the</w:t>
      </w:r>
      <w:r w:rsidR="006D6C7E">
        <w:t xml:space="preserve"> piece</w:t>
      </w:r>
      <w:r w:rsidR="00B551F0">
        <w:t xml:space="preserve"> (and, if applicable, </w:t>
      </w:r>
      <w:r>
        <w:t>t</w:t>
      </w:r>
      <w:r w:rsidR="00A11648">
        <w:t>he con</w:t>
      </w:r>
      <w:r w:rsidR="00B551F0">
        <w:t xml:space="preserve">tribution it and the theorist </w:t>
      </w:r>
      <w:r>
        <w:t>makes to the movement being studied</w:t>
      </w:r>
      <w:r w:rsidR="00B551F0">
        <w:t>)</w:t>
      </w:r>
      <w:r>
        <w:t xml:space="preserve">. Feel free to go beyond the text and examine the real-world possibilities/implications of the theory. </w:t>
      </w:r>
    </w:p>
    <w:p w14:paraId="0EA3BF15" w14:textId="6DAB0292" w:rsidR="000C51EF" w:rsidRDefault="000C51EF" w:rsidP="00062615">
      <w:pPr>
        <w:numPr>
          <w:ilvl w:val="0"/>
          <w:numId w:val="2"/>
        </w:numPr>
      </w:pPr>
      <w:r>
        <w:t>Don’t spend more than a few minutes on the biography of the theorist. The bulk of your presentation should b</w:t>
      </w:r>
      <w:r w:rsidR="00A11648">
        <w:t xml:space="preserve">e on the content of the essay </w:t>
      </w:r>
      <w:r>
        <w:t>and if necessary it’s relationship to the theorist’s oeuvre.</w:t>
      </w:r>
    </w:p>
    <w:p w14:paraId="548E7EEB" w14:textId="79A7DC27" w:rsidR="00A11648" w:rsidRPr="008F147B" w:rsidRDefault="00A11648" w:rsidP="00062615">
      <w:pPr>
        <w:numPr>
          <w:ilvl w:val="0"/>
          <w:numId w:val="2"/>
        </w:numPr>
      </w:pPr>
      <w:r>
        <w:t>As most of the readings in K&amp;B are short excerpts from longer articles, you are encouraged to seek out the longer piece for your presentation. (This is not required, but it might be helpful for you and the class.)</w:t>
      </w:r>
    </w:p>
    <w:p w14:paraId="19E5764B" w14:textId="77777777" w:rsidR="00062615" w:rsidRDefault="00062615" w:rsidP="00062615"/>
    <w:p w14:paraId="12F7CECD" w14:textId="77777777" w:rsidR="00062615" w:rsidRDefault="00062615" w:rsidP="00062615">
      <w:pPr>
        <w:rPr>
          <w:b/>
        </w:rPr>
      </w:pPr>
      <w:r>
        <w:rPr>
          <w:b/>
        </w:rPr>
        <w:t>You will be evaluated on:</w:t>
      </w:r>
    </w:p>
    <w:p w14:paraId="47C540C0" w14:textId="155E1453" w:rsidR="00062615" w:rsidRPr="00F759ED" w:rsidRDefault="00062615" w:rsidP="00062615">
      <w:pPr>
        <w:numPr>
          <w:ilvl w:val="0"/>
          <w:numId w:val="2"/>
        </w:numPr>
        <w:tabs>
          <w:tab w:val="left" w:pos="220"/>
        </w:tabs>
      </w:pPr>
      <w:r>
        <w:t>The accuracy and clarit</w:t>
      </w:r>
      <w:r w:rsidR="006D6C7E">
        <w:t>y of your summary of the essay</w:t>
      </w:r>
      <w:r>
        <w:t xml:space="preserve"> you are assigned.</w:t>
      </w:r>
    </w:p>
    <w:p w14:paraId="7551DB04" w14:textId="77777777" w:rsidR="00062615" w:rsidRPr="00F759ED" w:rsidRDefault="00062615" w:rsidP="00062615">
      <w:pPr>
        <w:numPr>
          <w:ilvl w:val="0"/>
          <w:numId w:val="2"/>
        </w:numPr>
        <w:tabs>
          <w:tab w:val="left" w:pos="220"/>
        </w:tabs>
      </w:pPr>
      <w:r>
        <w:t xml:space="preserve">The quality of your analysis of the text’s significance and evaluation of its aims. </w:t>
      </w:r>
    </w:p>
    <w:p w14:paraId="604C1D6A" w14:textId="77777777" w:rsidR="00062615" w:rsidRPr="00F759ED" w:rsidRDefault="00062615" w:rsidP="00062615">
      <w:pPr>
        <w:numPr>
          <w:ilvl w:val="0"/>
          <w:numId w:val="2"/>
        </w:numPr>
        <w:tabs>
          <w:tab w:val="left" w:pos="220"/>
        </w:tabs>
      </w:pPr>
      <w:r>
        <w:t>The coherence and organization of your presentation.</w:t>
      </w:r>
    </w:p>
    <w:p w14:paraId="63115A2D" w14:textId="77777777" w:rsidR="00062615" w:rsidRPr="00F759ED" w:rsidRDefault="00062615" w:rsidP="00062615">
      <w:pPr>
        <w:numPr>
          <w:ilvl w:val="0"/>
          <w:numId w:val="2"/>
        </w:numPr>
        <w:tabs>
          <w:tab w:val="left" w:pos="220"/>
        </w:tabs>
      </w:pPr>
      <w:r>
        <w:t>The quality of your discussion questions.</w:t>
      </w:r>
    </w:p>
    <w:p w14:paraId="2BBD550E" w14:textId="77777777" w:rsidR="00062615" w:rsidRDefault="00062615" w:rsidP="00062615">
      <w:pPr>
        <w:tabs>
          <w:tab w:val="left" w:pos="220"/>
          <w:tab w:val="left" w:pos="720"/>
        </w:tabs>
        <w:ind w:left="720" w:hanging="720"/>
      </w:pPr>
    </w:p>
    <w:p w14:paraId="569E9BF0" w14:textId="77777777" w:rsidR="00062615" w:rsidRDefault="00062615" w:rsidP="00062615">
      <w:pPr>
        <w:rPr>
          <w:b/>
        </w:rPr>
      </w:pPr>
    </w:p>
    <w:p w14:paraId="1DD12C64" w14:textId="77777777" w:rsidR="00062615" w:rsidRPr="00B04573" w:rsidRDefault="00062615" w:rsidP="00062615">
      <w:pPr>
        <w:rPr>
          <w:b/>
        </w:rPr>
      </w:pPr>
      <w:r w:rsidRPr="00B04573">
        <w:rPr>
          <w:b/>
        </w:rPr>
        <w:t>Final Exam</w:t>
      </w:r>
    </w:p>
    <w:p w14:paraId="7CA0C8DF" w14:textId="361BE110" w:rsidR="00062615" w:rsidRDefault="00062615" w:rsidP="00062615">
      <w:r>
        <w:t>The final exam for the course will cover the material studied throughout the semester. You will be required to identify terms, concepts, and theorists, and</w:t>
      </w:r>
      <w:r w:rsidR="009E4BC0">
        <w:t>,</w:t>
      </w:r>
      <w:r>
        <w:t xml:space="preserve"> </w:t>
      </w:r>
      <w:r w:rsidR="006527B3">
        <w:t>in an essay</w:t>
      </w:r>
      <w:r w:rsidR="009E4BC0">
        <w:t>,</w:t>
      </w:r>
      <w:r w:rsidR="006527B3">
        <w:t xml:space="preserve"> </w:t>
      </w:r>
      <w:r>
        <w:t>de</w:t>
      </w:r>
      <w:r w:rsidR="00FD6014">
        <w:t>monstrate an understanding of the key concepts in the field of feminist thought.</w:t>
      </w:r>
    </w:p>
    <w:p w14:paraId="3F471D54" w14:textId="77777777" w:rsidR="00062615" w:rsidRDefault="00062615" w:rsidP="00062615">
      <w:pPr>
        <w:rPr>
          <w:b/>
        </w:rPr>
      </w:pPr>
    </w:p>
    <w:p w14:paraId="263D0558" w14:textId="77777777" w:rsidR="00062615" w:rsidRPr="00932BBB" w:rsidRDefault="00062615" w:rsidP="00062615">
      <w:pPr>
        <w:rPr>
          <w:b/>
          <w:color w:val="FF0000"/>
        </w:rPr>
      </w:pPr>
      <w:r w:rsidRPr="00932BBB">
        <w:rPr>
          <w:b/>
          <w:color w:val="FF0000"/>
        </w:rPr>
        <w:t>PLAGIARISM</w:t>
      </w:r>
    </w:p>
    <w:p w14:paraId="0E02D50B" w14:textId="77777777" w:rsidR="00062615" w:rsidRPr="00932BBB" w:rsidRDefault="00062615" w:rsidP="00062615">
      <w:pPr>
        <w:rPr>
          <w:color w:val="FF0000"/>
        </w:rPr>
      </w:pPr>
      <w:r w:rsidRPr="00932BBB">
        <w:rPr>
          <w:color w:val="FF0000"/>
        </w:rPr>
        <w:t>In both oral and written communication, the following guidelines for avoiding plagiarism must be followed:</w:t>
      </w:r>
    </w:p>
    <w:p w14:paraId="1DB3B2D5" w14:textId="77777777" w:rsidR="00062615" w:rsidRPr="00932BBB" w:rsidRDefault="00062615" w:rsidP="00062615">
      <w:pPr>
        <w:widowControl w:val="0"/>
        <w:numPr>
          <w:ilvl w:val="0"/>
          <w:numId w:val="3"/>
        </w:numPr>
        <w:suppressAutoHyphens/>
        <w:ind w:left="720"/>
        <w:rPr>
          <w:color w:val="FF0000"/>
        </w:rPr>
      </w:pPr>
      <w:r w:rsidRPr="00932BBB">
        <w:rPr>
          <w:color w:val="FF0000"/>
        </w:rPr>
        <w:t>Any words quoted directly from a source must be in quotation marks (for a written assignment</w:t>
      </w:r>
      <w:r>
        <w:rPr>
          <w:color w:val="FF0000"/>
        </w:rPr>
        <w:t xml:space="preserve"> and referenced for an oral presentation</w:t>
      </w:r>
      <w:r w:rsidRPr="00932BBB">
        <w:rPr>
          <w:color w:val="FF0000"/>
        </w:rPr>
        <w:t>) and cited.</w:t>
      </w:r>
      <w:r>
        <w:rPr>
          <w:color w:val="FF0000"/>
        </w:rPr>
        <w:t xml:space="preserve"> </w:t>
      </w:r>
    </w:p>
    <w:p w14:paraId="11E052D3" w14:textId="77777777" w:rsidR="00062615" w:rsidRPr="00932BBB" w:rsidRDefault="00062615" w:rsidP="00062615">
      <w:pPr>
        <w:widowControl w:val="0"/>
        <w:numPr>
          <w:ilvl w:val="0"/>
          <w:numId w:val="3"/>
        </w:numPr>
        <w:suppressAutoHyphens/>
        <w:ind w:left="720"/>
        <w:rPr>
          <w:color w:val="FF0000"/>
        </w:rPr>
      </w:pPr>
      <w:r w:rsidRPr="00932BBB">
        <w:rPr>
          <w:color w:val="FF0000"/>
        </w:rPr>
        <w:t>Any paraphrasing or rephrasing of the words and/or ideas of a source must be cited.</w:t>
      </w:r>
    </w:p>
    <w:p w14:paraId="65D61A07" w14:textId="77777777" w:rsidR="00062615" w:rsidRPr="00932BBB" w:rsidRDefault="00062615" w:rsidP="00062615">
      <w:pPr>
        <w:widowControl w:val="0"/>
        <w:numPr>
          <w:ilvl w:val="0"/>
          <w:numId w:val="3"/>
        </w:numPr>
        <w:suppressAutoHyphens/>
        <w:ind w:left="720"/>
        <w:rPr>
          <w:color w:val="FF0000"/>
        </w:rPr>
      </w:pPr>
      <w:r w:rsidRPr="00932BBB">
        <w:rPr>
          <w:color w:val="FF0000"/>
        </w:rPr>
        <w:t>Any ideas or examples derived from a source that are not in the public domain or of a general knowledge must be cited.</w:t>
      </w:r>
    </w:p>
    <w:p w14:paraId="61B17348" w14:textId="77777777" w:rsidR="00062615" w:rsidRPr="00932BBB" w:rsidRDefault="00062615" w:rsidP="00062615">
      <w:pPr>
        <w:widowControl w:val="0"/>
        <w:suppressAutoHyphens/>
        <w:ind w:left="360"/>
        <w:rPr>
          <w:color w:val="FF0000"/>
        </w:rPr>
      </w:pPr>
    </w:p>
    <w:p w14:paraId="6FA06AD8" w14:textId="77777777" w:rsidR="00062615" w:rsidRPr="00932BBB" w:rsidRDefault="00062615" w:rsidP="00062615">
      <w:pPr>
        <w:widowControl w:val="0"/>
        <w:numPr>
          <w:ilvl w:val="0"/>
          <w:numId w:val="3"/>
        </w:numPr>
        <w:suppressAutoHyphens/>
        <w:ind w:left="720"/>
        <w:rPr>
          <w:b/>
          <w:color w:val="FF0000"/>
        </w:rPr>
      </w:pPr>
      <w:r w:rsidRPr="00932BBB">
        <w:rPr>
          <w:b/>
          <w:color w:val="FF0000"/>
        </w:rPr>
        <w:t>All papers and presentations must be the student’s own work.</w:t>
      </w:r>
    </w:p>
    <w:p w14:paraId="782FCA90" w14:textId="77777777" w:rsidR="00062615" w:rsidRPr="00932BBB" w:rsidRDefault="00062615" w:rsidP="00062615">
      <w:pPr>
        <w:rPr>
          <w:color w:val="FF0000"/>
        </w:rPr>
      </w:pPr>
    </w:p>
    <w:p w14:paraId="5C7AFE4E" w14:textId="77777777" w:rsidR="00062615" w:rsidRPr="00932BBB" w:rsidRDefault="00062615" w:rsidP="00062615">
      <w:pPr>
        <w:rPr>
          <w:color w:val="FF0000"/>
        </w:rPr>
      </w:pPr>
      <w:r w:rsidRPr="00932BBB">
        <w:rPr>
          <w:color w:val="FF0000"/>
        </w:rPr>
        <w:t>Students who are confused about what constitutes plagiarism shou</w:t>
      </w:r>
      <w:r>
        <w:rPr>
          <w:color w:val="FF0000"/>
        </w:rPr>
        <w:t>ld meet with me.</w:t>
      </w:r>
    </w:p>
    <w:p w14:paraId="757AEA3F" w14:textId="77777777" w:rsidR="00062615" w:rsidRDefault="00062615" w:rsidP="00062615"/>
    <w:p w14:paraId="07797305" w14:textId="77777777" w:rsidR="00062615" w:rsidRPr="004C5394" w:rsidRDefault="00062615" w:rsidP="00062615">
      <w:pPr>
        <w:rPr>
          <w:color w:val="76923C"/>
        </w:rPr>
      </w:pPr>
      <w:r w:rsidRPr="004C5394">
        <w:rPr>
          <w:color w:val="76923C"/>
        </w:rPr>
        <w:t xml:space="preserve">Academic Honesty is expected of all students.  Cheating and plagiarism are violations of academic honesty.  Any student caught violating the academic honesty code will be failed for the entire semester and the matter will be reported, with documentation, to the Office of Student Conduct for further disciplinary action.  </w:t>
      </w:r>
    </w:p>
    <w:p w14:paraId="593E2B4E" w14:textId="77777777" w:rsidR="00062615" w:rsidRPr="001C4FE6" w:rsidRDefault="00062615" w:rsidP="00062615">
      <w:pPr>
        <w:rPr>
          <w:color w:val="FF6600"/>
        </w:rPr>
      </w:pPr>
    </w:p>
    <w:p w14:paraId="41103AC9" w14:textId="77777777" w:rsidR="00062615" w:rsidRDefault="00062615" w:rsidP="00062615">
      <w:r>
        <w:rPr>
          <w:b/>
        </w:rPr>
        <w:t>Accommodations for Students with Disabilities:</w:t>
      </w:r>
      <w:r>
        <w:t xml:space="preserve"> Students who need accommodations are asked to arrange a meeting during office hours the first week</w:t>
      </w:r>
      <w:r>
        <w:rPr>
          <w:b/>
        </w:rPr>
        <w:t xml:space="preserve"> </w:t>
      </w:r>
      <w:r>
        <w:t>of classes, or earlier if accommodations are needed immediately. Bring a copy of all relevant paperwork to the meeting. If you do not have a notification for accommodations but need accommodations, make an appointment with the Office for Students with Disabilities, 102 University Hall, 2-3364.</w:t>
      </w:r>
      <w:r>
        <w:cr/>
      </w:r>
    </w:p>
    <w:p w14:paraId="26ABF6A1" w14:textId="77777777" w:rsidR="00062615" w:rsidRPr="001C4FE6" w:rsidRDefault="00062615" w:rsidP="00062615">
      <w:r w:rsidRPr="001C4FE6">
        <w:rPr>
          <w:b/>
          <w:bCs/>
        </w:rPr>
        <w:t>Student Support Services</w:t>
      </w:r>
      <w:r w:rsidRPr="001C4FE6">
        <w:t>:</w:t>
      </w:r>
      <w:r w:rsidRPr="001C4FE6">
        <w:rPr>
          <w:b/>
          <w:bCs/>
        </w:rPr>
        <w:t xml:space="preserve"> </w:t>
      </w:r>
      <w:r w:rsidRPr="001C4FE6">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1C4FE6">
          <w:rPr>
            <w:rStyle w:val="Hyperlink"/>
          </w:rPr>
          <w:t>resources@uta.edu</w:t>
        </w:r>
      </w:hyperlink>
      <w:r w:rsidRPr="001C4FE6">
        <w:t xml:space="preserve">, or view the information at </w:t>
      </w:r>
      <w:hyperlink r:id="rId9" w:history="1">
        <w:r w:rsidRPr="001C4FE6">
          <w:rPr>
            <w:rStyle w:val="Hyperlink"/>
          </w:rPr>
          <w:t>www.uta.edu/resources</w:t>
        </w:r>
      </w:hyperlink>
      <w:r w:rsidRPr="001C4FE6">
        <w:t>.</w:t>
      </w:r>
    </w:p>
    <w:p w14:paraId="2E214E83" w14:textId="77777777" w:rsidR="00062615" w:rsidRDefault="00062615" w:rsidP="00062615">
      <w:pPr>
        <w:rPr>
          <w:b/>
        </w:rPr>
      </w:pPr>
    </w:p>
    <w:p w14:paraId="4ECDD121" w14:textId="77777777" w:rsidR="00062615" w:rsidRPr="003228BA" w:rsidRDefault="00062615" w:rsidP="00062615">
      <w:r w:rsidRPr="003228BA">
        <w:rPr>
          <w:b/>
        </w:rPr>
        <w:t xml:space="preserve">Electronic Communication: </w:t>
      </w:r>
      <w:r w:rsidRPr="003228BA">
        <w:t xml:space="preserve">UT Arlington has adopted </w:t>
      </w:r>
      <w:proofErr w:type="spellStart"/>
      <w:r w:rsidRPr="003228BA">
        <w:t>MavMail</w:t>
      </w:r>
      <w:proofErr w:type="spellEnd"/>
      <w:r w:rsidRPr="003228BA">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228BA">
        <w:t>MavMail</w:t>
      </w:r>
      <w:proofErr w:type="spellEnd"/>
      <w:r w:rsidRPr="003228BA">
        <w:t xml:space="preserve"> account and are responsible for checking the inbox regularly. There is no additional charge to students for using this account, which remains active even after graduation. Information about activating and using </w:t>
      </w:r>
      <w:proofErr w:type="spellStart"/>
      <w:r w:rsidRPr="003228BA">
        <w:t>MavMail</w:t>
      </w:r>
      <w:proofErr w:type="spellEnd"/>
      <w:r w:rsidRPr="003228BA">
        <w:t xml:space="preserve"> is available at </w:t>
      </w:r>
      <w:hyperlink r:id="rId10" w:history="1">
        <w:r w:rsidRPr="003228BA">
          <w:rPr>
            <w:rStyle w:val="Hyperlink"/>
          </w:rPr>
          <w:t>http://www.uta.edu/oit/cs/email/mavmail.php</w:t>
        </w:r>
      </w:hyperlink>
      <w:r w:rsidRPr="003228BA">
        <w:t>.</w:t>
      </w:r>
    </w:p>
    <w:p w14:paraId="48DCBB26" w14:textId="77777777" w:rsidR="00062615" w:rsidRPr="003228BA" w:rsidRDefault="00062615" w:rsidP="00062615"/>
    <w:p w14:paraId="57048AAD" w14:textId="77777777" w:rsidR="00062615" w:rsidRPr="003228BA" w:rsidRDefault="00062615" w:rsidP="00062615">
      <w:pPr>
        <w:autoSpaceDE w:val="0"/>
        <w:autoSpaceDN w:val="0"/>
        <w:adjustRightInd w:val="0"/>
      </w:pPr>
      <w:r w:rsidRPr="003228BA">
        <w:rPr>
          <w:b/>
        </w:rPr>
        <w:t xml:space="preserve">Student Feedback Survey: </w:t>
      </w:r>
      <w:r w:rsidRPr="003228BA">
        <w:rPr>
          <w:bCs/>
        </w:rPr>
        <w:t xml:space="preserve">At the end of each term, students enrolled in classes </w:t>
      </w:r>
      <w:proofErr w:type="gramStart"/>
      <w:r w:rsidRPr="003228BA">
        <w:rPr>
          <w:bCs/>
        </w:rPr>
        <w:t>categorized</w:t>
      </w:r>
      <w:proofErr w:type="gramEnd"/>
      <w:r w:rsidRPr="003228BA">
        <w:rPr>
          <w:bCs/>
        </w:rPr>
        <w:t xml:space="preserve"> as lecture, seminar, or laboratory shall be directed to complete a Student Feedback Survey (SFS). Instructions on how to access the SFS for this course will be sent directly to each student through </w:t>
      </w:r>
      <w:proofErr w:type="spellStart"/>
      <w:r w:rsidRPr="003228BA">
        <w:rPr>
          <w:bCs/>
        </w:rPr>
        <w:t>MavMail</w:t>
      </w:r>
      <w:proofErr w:type="spellEnd"/>
      <w:r w:rsidRPr="003228BA">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3228BA">
          <w:rPr>
            <w:rStyle w:val="Hyperlink"/>
            <w:bCs/>
          </w:rPr>
          <w:t>http://www.uta.edu/sfs</w:t>
        </w:r>
      </w:hyperlink>
      <w:r w:rsidRPr="003228BA">
        <w:rPr>
          <w:bCs/>
        </w:rPr>
        <w:t>.</w:t>
      </w:r>
    </w:p>
    <w:p w14:paraId="644901F0" w14:textId="77777777" w:rsidR="00062615" w:rsidRDefault="00062615" w:rsidP="00062615">
      <w:pPr>
        <w:rPr>
          <w:b/>
        </w:rPr>
      </w:pPr>
    </w:p>
    <w:p w14:paraId="5FDC2E06" w14:textId="77777777" w:rsidR="00062615" w:rsidRDefault="00062615" w:rsidP="00062615">
      <w:pPr>
        <w:rPr>
          <w:b/>
        </w:rPr>
      </w:pPr>
    </w:p>
    <w:p w14:paraId="1CDE9438" w14:textId="77777777" w:rsidR="00062615" w:rsidRPr="000757A3" w:rsidRDefault="00062615" w:rsidP="00062615">
      <w:r>
        <w:rPr>
          <w:b/>
        </w:rPr>
        <w:t xml:space="preserve">Assignment Schedule (subject to change) </w:t>
      </w:r>
      <w:r>
        <w:rPr>
          <w:b/>
        </w:rPr>
        <w:cr/>
      </w:r>
      <w:r>
        <w:t xml:space="preserve">Readings are due on the date recorded and should therefore be completed BEFORE the corresponding class day. </w:t>
      </w:r>
      <w: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062615" w14:paraId="65FAB369" w14:textId="77777777" w:rsidTr="00062615">
        <w:tc>
          <w:tcPr>
            <w:tcW w:w="1728" w:type="dxa"/>
            <w:shd w:val="clear" w:color="auto" w:fill="auto"/>
          </w:tcPr>
          <w:p w14:paraId="21E8DB5F" w14:textId="77777777" w:rsidR="00062615" w:rsidRPr="003236A4" w:rsidRDefault="00062615" w:rsidP="00062615">
            <w:pPr>
              <w:rPr>
                <w:b/>
              </w:rPr>
            </w:pPr>
            <w:r w:rsidRPr="003236A4">
              <w:rPr>
                <w:b/>
              </w:rPr>
              <w:t>DATE</w:t>
            </w:r>
          </w:p>
        </w:tc>
        <w:tc>
          <w:tcPr>
            <w:tcW w:w="7128" w:type="dxa"/>
            <w:shd w:val="clear" w:color="auto" w:fill="auto"/>
          </w:tcPr>
          <w:p w14:paraId="7D3499BC" w14:textId="77777777" w:rsidR="00062615" w:rsidRPr="003236A4" w:rsidRDefault="00062615" w:rsidP="00062615">
            <w:pPr>
              <w:rPr>
                <w:b/>
              </w:rPr>
            </w:pPr>
            <w:r w:rsidRPr="003236A4">
              <w:rPr>
                <w:b/>
              </w:rPr>
              <w:t>ASSIGNMENT DUE/CLASS ACTIVITIES</w:t>
            </w:r>
          </w:p>
        </w:tc>
      </w:tr>
      <w:tr w:rsidR="00062615" w14:paraId="5B14EF1A" w14:textId="77777777" w:rsidTr="00062615">
        <w:tc>
          <w:tcPr>
            <w:tcW w:w="1728" w:type="dxa"/>
            <w:shd w:val="clear" w:color="auto" w:fill="auto"/>
          </w:tcPr>
          <w:p w14:paraId="5DC1B58F" w14:textId="77777777" w:rsidR="00062615" w:rsidRDefault="00062615" w:rsidP="00062615">
            <w:r>
              <w:t>Week 1</w:t>
            </w:r>
          </w:p>
          <w:p w14:paraId="6B5F16CC" w14:textId="77777777" w:rsidR="00062615" w:rsidRDefault="00062615" w:rsidP="00062615">
            <w:r>
              <w:t>T 1/19</w:t>
            </w:r>
          </w:p>
        </w:tc>
        <w:tc>
          <w:tcPr>
            <w:tcW w:w="7128" w:type="dxa"/>
            <w:shd w:val="clear" w:color="auto" w:fill="auto"/>
          </w:tcPr>
          <w:p w14:paraId="2CDDC07D" w14:textId="64BA94E7" w:rsidR="00D82D1A" w:rsidRPr="00D82D1A" w:rsidRDefault="00D82D1A" w:rsidP="00062615">
            <w:r>
              <w:t xml:space="preserve">Kolmar and </w:t>
            </w:r>
            <w:proofErr w:type="spellStart"/>
            <w:r>
              <w:t>Bartkowski</w:t>
            </w:r>
            <w:proofErr w:type="spellEnd"/>
            <w:r>
              <w:t xml:space="preserve"> (K&amp;B)</w:t>
            </w:r>
            <w:r w:rsidR="00D6163F">
              <w:t xml:space="preserve"> Readings 1,</w:t>
            </w:r>
            <w:r w:rsidR="002B6A2F">
              <w:t xml:space="preserve"> </w:t>
            </w:r>
            <w:r w:rsidR="00D6163F">
              <w:t>2 &amp;</w:t>
            </w:r>
            <w:r w:rsidR="002B6A2F">
              <w:t xml:space="preserve"> </w:t>
            </w:r>
            <w:r w:rsidR="00D6163F">
              <w:t>3 (pp. 7-15)</w:t>
            </w:r>
          </w:p>
          <w:p w14:paraId="706115B9" w14:textId="66D08C35" w:rsidR="002B6A2F" w:rsidRDefault="003D4014" w:rsidP="002B6A2F">
            <w:r>
              <w:t xml:space="preserve">Chanter, Introduction </w:t>
            </w:r>
            <w:r w:rsidR="00A15D72">
              <w:t xml:space="preserve">and </w:t>
            </w:r>
            <w:r w:rsidR="00D82D1A">
              <w:t>ch.1 (pp.1-30)</w:t>
            </w:r>
            <w:r w:rsidR="002B6A2F">
              <w:t xml:space="preserve"> </w:t>
            </w:r>
          </w:p>
          <w:p w14:paraId="4102F1BA" w14:textId="578B5D1B" w:rsidR="002B6A2F" w:rsidRDefault="002B6A2F" w:rsidP="002B6A2F">
            <w:proofErr w:type="spellStart"/>
            <w:r>
              <w:t>Delphy</w:t>
            </w:r>
            <w:proofErr w:type="spellEnd"/>
            <w:r>
              <w:t xml:space="preserve">, </w:t>
            </w:r>
            <w:hyperlink r:id="rId12" w:history="1">
              <w:r w:rsidRPr="00F61CAD">
                <w:rPr>
                  <w:rStyle w:val="Hyperlink"/>
                </w:rPr>
                <w:t>https://rancom.wordpress.com/2012/06/05/hierarchy/</w:t>
              </w:r>
            </w:hyperlink>
          </w:p>
          <w:p w14:paraId="39FA86DF" w14:textId="09807F13" w:rsidR="00062615" w:rsidRPr="00D82D1A" w:rsidRDefault="00062615" w:rsidP="00062615"/>
        </w:tc>
      </w:tr>
      <w:tr w:rsidR="00062615" w14:paraId="38169FB8" w14:textId="77777777" w:rsidTr="00062615">
        <w:tc>
          <w:tcPr>
            <w:tcW w:w="1728" w:type="dxa"/>
            <w:shd w:val="clear" w:color="auto" w:fill="auto"/>
          </w:tcPr>
          <w:p w14:paraId="4D25AD55" w14:textId="77777777" w:rsidR="00062615" w:rsidRDefault="00062615" w:rsidP="00062615"/>
        </w:tc>
        <w:tc>
          <w:tcPr>
            <w:tcW w:w="7128" w:type="dxa"/>
            <w:shd w:val="clear" w:color="auto" w:fill="auto"/>
          </w:tcPr>
          <w:p w14:paraId="39777D81" w14:textId="77777777" w:rsidR="00062615" w:rsidRDefault="00062615" w:rsidP="00062615"/>
        </w:tc>
      </w:tr>
      <w:tr w:rsidR="00062615" w14:paraId="77899921" w14:textId="77777777" w:rsidTr="00062615">
        <w:tc>
          <w:tcPr>
            <w:tcW w:w="1728" w:type="dxa"/>
            <w:shd w:val="clear" w:color="auto" w:fill="auto"/>
          </w:tcPr>
          <w:p w14:paraId="56FA3839" w14:textId="77777777" w:rsidR="00062615" w:rsidRDefault="00062615" w:rsidP="00062615">
            <w:r>
              <w:t>Week 2</w:t>
            </w:r>
          </w:p>
          <w:p w14:paraId="584BCF80" w14:textId="77777777" w:rsidR="00062615" w:rsidRDefault="00062615" w:rsidP="00062615">
            <w:r>
              <w:t>T 1/26</w:t>
            </w:r>
          </w:p>
        </w:tc>
        <w:tc>
          <w:tcPr>
            <w:tcW w:w="7128" w:type="dxa"/>
            <w:shd w:val="clear" w:color="auto" w:fill="auto"/>
          </w:tcPr>
          <w:p w14:paraId="4CE3FB28" w14:textId="61270246" w:rsidR="003D4014" w:rsidRPr="003D4014" w:rsidRDefault="003D4014" w:rsidP="00062615">
            <w:pPr>
              <w:rPr>
                <w:b/>
              </w:rPr>
            </w:pPr>
            <w:r>
              <w:rPr>
                <w:b/>
              </w:rPr>
              <w:t>Sex and Gender</w:t>
            </w:r>
          </w:p>
          <w:p w14:paraId="3897CAF3" w14:textId="6B1E1BC0" w:rsidR="002B6A2F" w:rsidRDefault="002B6A2F" w:rsidP="00062615">
            <w:r>
              <w:t>Beauvoir #37</w:t>
            </w:r>
            <w:r w:rsidR="003D4014">
              <w:t xml:space="preserve"> (K&amp;B)</w:t>
            </w:r>
          </w:p>
          <w:p w14:paraId="5B41FFDD" w14:textId="653FFA60" w:rsidR="002B6A2F" w:rsidRDefault="003D4014" w:rsidP="00062615">
            <w:proofErr w:type="spellStart"/>
            <w:r>
              <w:t>Ortner</w:t>
            </w:r>
            <w:proofErr w:type="spellEnd"/>
            <w:r>
              <w:t xml:space="preserve"> #50 (K&amp;B)</w:t>
            </w:r>
          </w:p>
          <w:p w14:paraId="6F6457CF" w14:textId="6B47C6ED" w:rsidR="002B6A2F" w:rsidRPr="00CE122E" w:rsidRDefault="003D4014" w:rsidP="002B6A2F">
            <w:r>
              <w:t>Butler #82 (K&amp;B)</w:t>
            </w:r>
          </w:p>
        </w:tc>
      </w:tr>
      <w:tr w:rsidR="00062615" w14:paraId="56B825AB" w14:textId="77777777" w:rsidTr="00062615">
        <w:tc>
          <w:tcPr>
            <w:tcW w:w="1728" w:type="dxa"/>
            <w:shd w:val="clear" w:color="auto" w:fill="auto"/>
          </w:tcPr>
          <w:p w14:paraId="74C48DC8" w14:textId="77777777" w:rsidR="00062615" w:rsidRDefault="00062615" w:rsidP="00062615"/>
        </w:tc>
        <w:tc>
          <w:tcPr>
            <w:tcW w:w="7128" w:type="dxa"/>
            <w:shd w:val="clear" w:color="auto" w:fill="auto"/>
          </w:tcPr>
          <w:p w14:paraId="3380292B" w14:textId="77777777" w:rsidR="00062615" w:rsidRDefault="00062615" w:rsidP="00062615"/>
        </w:tc>
      </w:tr>
      <w:tr w:rsidR="00062615" w14:paraId="277D13C5" w14:textId="77777777" w:rsidTr="00062615">
        <w:tc>
          <w:tcPr>
            <w:tcW w:w="1728" w:type="dxa"/>
            <w:shd w:val="clear" w:color="auto" w:fill="auto"/>
          </w:tcPr>
          <w:p w14:paraId="718A0329" w14:textId="77777777" w:rsidR="00062615" w:rsidRDefault="00062615" w:rsidP="00062615">
            <w:r>
              <w:t>Week 3</w:t>
            </w:r>
          </w:p>
          <w:p w14:paraId="56A82744" w14:textId="77777777" w:rsidR="00062615" w:rsidRDefault="00062615" w:rsidP="00062615">
            <w:r>
              <w:t>T 2/2</w:t>
            </w:r>
          </w:p>
        </w:tc>
        <w:tc>
          <w:tcPr>
            <w:tcW w:w="7128" w:type="dxa"/>
            <w:shd w:val="clear" w:color="auto" w:fill="auto"/>
          </w:tcPr>
          <w:p w14:paraId="60BA4AAA" w14:textId="65CF572A" w:rsidR="008E7E16" w:rsidRPr="008E7E16" w:rsidRDefault="008E7E16" w:rsidP="00062615">
            <w:pPr>
              <w:rPr>
                <w:b/>
              </w:rPr>
            </w:pPr>
            <w:r>
              <w:rPr>
                <w:b/>
              </w:rPr>
              <w:t>Feminism and Marxism</w:t>
            </w:r>
          </w:p>
          <w:p w14:paraId="62CF0565" w14:textId="77777777" w:rsidR="001A37DB" w:rsidRDefault="001A37DB" w:rsidP="001A37DB">
            <w:r>
              <w:t>Engels #22 (K&amp;B)</w:t>
            </w:r>
          </w:p>
          <w:p w14:paraId="3B0EE0CA" w14:textId="77777777" w:rsidR="001A37DB" w:rsidRDefault="001A37DB" w:rsidP="001A37DB">
            <w:r>
              <w:t>Gilman #25 (K&amp;B)</w:t>
            </w:r>
          </w:p>
          <w:p w14:paraId="7132F5C2" w14:textId="63BEF445" w:rsidR="00C02A50" w:rsidRDefault="00C02A50" w:rsidP="00062615">
            <w:r>
              <w:t xml:space="preserve">Rubin #54 </w:t>
            </w:r>
          </w:p>
          <w:p w14:paraId="0BF740C9" w14:textId="64EF3F0D" w:rsidR="008E7E16" w:rsidRPr="00337AC2" w:rsidRDefault="00C02A50" w:rsidP="00C02A50">
            <w:r>
              <w:t xml:space="preserve">Irigaray, “Women on the Market” and “Commodities Among Themselves” </w:t>
            </w:r>
            <w:proofErr w:type="spellStart"/>
            <w:r w:rsidRPr="00FD6014">
              <w:rPr>
                <w:b/>
              </w:rPr>
              <w:t>pdf</w:t>
            </w:r>
            <w:r w:rsidR="00D577B6">
              <w:rPr>
                <w:b/>
              </w:rPr>
              <w:t>s</w:t>
            </w:r>
            <w:proofErr w:type="spellEnd"/>
            <w:r w:rsidRPr="00FD6014">
              <w:rPr>
                <w:b/>
              </w:rPr>
              <w:t xml:space="preserve"> on B</w:t>
            </w:r>
            <w:r w:rsidR="00D77C96" w:rsidRPr="00FD6014">
              <w:rPr>
                <w:b/>
              </w:rPr>
              <w:t xml:space="preserve">lack </w:t>
            </w:r>
            <w:r w:rsidRPr="00FD6014">
              <w:rPr>
                <w:b/>
              </w:rPr>
              <w:t>B</w:t>
            </w:r>
            <w:r w:rsidR="00D77C96" w:rsidRPr="00FD6014">
              <w:rPr>
                <w:b/>
              </w:rPr>
              <w:t>oard (BB)</w:t>
            </w:r>
            <w:r w:rsidRPr="00FD6014">
              <w:rPr>
                <w:b/>
              </w:rPr>
              <w:t>.</w:t>
            </w:r>
          </w:p>
        </w:tc>
      </w:tr>
      <w:tr w:rsidR="00062615" w14:paraId="3CD02387" w14:textId="77777777" w:rsidTr="00062615">
        <w:tc>
          <w:tcPr>
            <w:tcW w:w="1728" w:type="dxa"/>
            <w:shd w:val="clear" w:color="auto" w:fill="auto"/>
          </w:tcPr>
          <w:p w14:paraId="046C419D" w14:textId="77777777" w:rsidR="00062615" w:rsidRDefault="00062615" w:rsidP="00062615"/>
        </w:tc>
        <w:tc>
          <w:tcPr>
            <w:tcW w:w="7128" w:type="dxa"/>
            <w:shd w:val="clear" w:color="auto" w:fill="auto"/>
          </w:tcPr>
          <w:p w14:paraId="481DDDBB" w14:textId="77777777" w:rsidR="00062615" w:rsidRDefault="00062615" w:rsidP="00062615"/>
        </w:tc>
      </w:tr>
      <w:tr w:rsidR="00062615" w14:paraId="42725E84" w14:textId="77777777" w:rsidTr="00062615">
        <w:tc>
          <w:tcPr>
            <w:tcW w:w="1728" w:type="dxa"/>
            <w:shd w:val="clear" w:color="auto" w:fill="auto"/>
          </w:tcPr>
          <w:p w14:paraId="17EFCEA8" w14:textId="77777777" w:rsidR="00062615" w:rsidRDefault="00062615" w:rsidP="00062615">
            <w:r>
              <w:t>Week 4</w:t>
            </w:r>
          </w:p>
          <w:p w14:paraId="65D7C9FD" w14:textId="77777777" w:rsidR="00062615" w:rsidRDefault="00062615" w:rsidP="00062615">
            <w:r>
              <w:t>T 2/9</w:t>
            </w:r>
          </w:p>
        </w:tc>
        <w:tc>
          <w:tcPr>
            <w:tcW w:w="7128" w:type="dxa"/>
            <w:shd w:val="clear" w:color="auto" w:fill="auto"/>
          </w:tcPr>
          <w:p w14:paraId="699FCDD4" w14:textId="32A83288" w:rsidR="00A15D72" w:rsidRPr="00A15D72" w:rsidRDefault="00A15D72" w:rsidP="00866C62">
            <w:pPr>
              <w:rPr>
                <w:b/>
              </w:rPr>
            </w:pPr>
            <w:r>
              <w:rPr>
                <w:b/>
              </w:rPr>
              <w:t>Gender, Race, Class (</w:t>
            </w:r>
            <w:proofErr w:type="spellStart"/>
            <w:r>
              <w:rPr>
                <w:b/>
              </w:rPr>
              <w:t>Intersectionality</w:t>
            </w:r>
            <w:proofErr w:type="spellEnd"/>
            <w:r>
              <w:rPr>
                <w:b/>
              </w:rPr>
              <w:t>)</w:t>
            </w:r>
          </w:p>
          <w:p w14:paraId="3CA98318" w14:textId="77777777" w:rsidR="00866C62" w:rsidRDefault="00866C62" w:rsidP="00866C62">
            <w:r>
              <w:t>Chanter, ch.2.</w:t>
            </w:r>
          </w:p>
          <w:p w14:paraId="01869B69" w14:textId="77777777" w:rsidR="00866C62" w:rsidRDefault="00C02A50" w:rsidP="00C02A50">
            <w:r>
              <w:t>Hartmann #65</w:t>
            </w:r>
            <w:r w:rsidR="00866C62">
              <w:t xml:space="preserve"> </w:t>
            </w:r>
          </w:p>
          <w:p w14:paraId="096BE586" w14:textId="096DA60B" w:rsidR="00C02A50" w:rsidRDefault="00866C62" w:rsidP="00C02A50">
            <w:proofErr w:type="spellStart"/>
            <w:r>
              <w:t>Lugones</w:t>
            </w:r>
            <w:proofErr w:type="spellEnd"/>
            <w:r>
              <w:t>, “</w:t>
            </w:r>
            <w:proofErr w:type="spellStart"/>
            <w:r>
              <w:t>Coloniality</w:t>
            </w:r>
            <w:proofErr w:type="spellEnd"/>
            <w:r>
              <w:t xml:space="preserve"> of Gender”</w:t>
            </w:r>
          </w:p>
          <w:p w14:paraId="74DD93F5" w14:textId="14DE5AD0" w:rsidR="00866C62" w:rsidRDefault="006344B4" w:rsidP="00C02A50">
            <w:hyperlink r:id="rId13" w:history="1">
              <w:r w:rsidR="00866C62" w:rsidRPr="00F61CAD">
                <w:rPr>
                  <w:rStyle w:val="Hyperlink"/>
                </w:rPr>
                <w:t>https://globalstudies.trinity.duke.edu/wp-content/themes/cgsh/materials/WKO/v2d2_Lugones.pdf</w:t>
              </w:r>
            </w:hyperlink>
          </w:p>
          <w:p w14:paraId="226CC947" w14:textId="77777777" w:rsidR="00062615" w:rsidRPr="006F3B4C" w:rsidRDefault="00062615" w:rsidP="00866C62"/>
        </w:tc>
      </w:tr>
    </w:tbl>
    <w:p w14:paraId="38A0D0DC" w14:textId="77777777" w:rsidR="00062615" w:rsidRDefault="00062615" w:rsidP="00062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062615" w14:paraId="14DFE414" w14:textId="77777777" w:rsidTr="00062615">
        <w:tc>
          <w:tcPr>
            <w:tcW w:w="1728" w:type="dxa"/>
            <w:shd w:val="clear" w:color="auto" w:fill="auto"/>
          </w:tcPr>
          <w:p w14:paraId="0C7958C6" w14:textId="77777777" w:rsidR="00062615" w:rsidRDefault="00062615" w:rsidP="00062615">
            <w:r>
              <w:t>Week 5</w:t>
            </w:r>
          </w:p>
          <w:p w14:paraId="264F5708" w14:textId="77777777" w:rsidR="00062615" w:rsidRDefault="00062615" w:rsidP="00062615">
            <w:r>
              <w:t>T 2/16</w:t>
            </w:r>
          </w:p>
        </w:tc>
        <w:tc>
          <w:tcPr>
            <w:tcW w:w="7128" w:type="dxa"/>
            <w:shd w:val="clear" w:color="auto" w:fill="auto"/>
          </w:tcPr>
          <w:p w14:paraId="6B783D29" w14:textId="45B744B9" w:rsidR="00866C62" w:rsidRPr="007D4FAA" w:rsidRDefault="007D4FAA" w:rsidP="00062615">
            <w:pPr>
              <w:rPr>
                <w:b/>
              </w:rPr>
            </w:pPr>
            <w:proofErr w:type="spellStart"/>
            <w:r w:rsidRPr="007D4FAA">
              <w:rPr>
                <w:b/>
              </w:rPr>
              <w:t>Intersectionality</w:t>
            </w:r>
            <w:proofErr w:type="spellEnd"/>
            <w:r w:rsidR="00A15D72">
              <w:rPr>
                <w:b/>
              </w:rPr>
              <w:t xml:space="preserve"> </w:t>
            </w:r>
            <w:proofErr w:type="spellStart"/>
            <w:r w:rsidR="00A15D72">
              <w:rPr>
                <w:b/>
              </w:rPr>
              <w:t>con’t</w:t>
            </w:r>
            <w:proofErr w:type="spellEnd"/>
          </w:p>
          <w:p w14:paraId="0DE7F65F" w14:textId="16E3509D" w:rsidR="00B23C5D" w:rsidRDefault="00B23C5D" w:rsidP="000C1974">
            <w:r>
              <w:t xml:space="preserve">Chanter, </w:t>
            </w:r>
            <w:proofErr w:type="spellStart"/>
            <w:r>
              <w:t>ch.</w:t>
            </w:r>
            <w:proofErr w:type="spellEnd"/>
            <w:r>
              <w:t xml:space="preserve"> 5</w:t>
            </w:r>
          </w:p>
          <w:p w14:paraId="3B65B75C" w14:textId="4838217C" w:rsidR="000C1974" w:rsidRDefault="000C1974" w:rsidP="000C1974">
            <w:proofErr w:type="spellStart"/>
            <w:r>
              <w:t>Lorde</w:t>
            </w:r>
            <w:proofErr w:type="spellEnd"/>
            <w:r>
              <w:t xml:space="preserve"> #59</w:t>
            </w:r>
          </w:p>
          <w:p w14:paraId="5E13DF2D" w14:textId="77777777" w:rsidR="00866C62" w:rsidRDefault="007D4FAA" w:rsidP="000C1974">
            <w:r>
              <w:t>Crenshaw</w:t>
            </w:r>
            <w:r w:rsidR="000C1974">
              <w:t xml:space="preserve"> #92 (K&amp;B)</w:t>
            </w:r>
          </w:p>
          <w:p w14:paraId="39F4A3A1" w14:textId="5D9AE4F4" w:rsidR="000C1974" w:rsidRDefault="0069610B" w:rsidP="000C1974">
            <w:r>
              <w:t>Combahee River Collective #</w:t>
            </w:r>
            <w:r w:rsidR="00D53969">
              <w:t>58 (K&amp;B)</w:t>
            </w:r>
          </w:p>
          <w:p w14:paraId="79B4B682" w14:textId="77777777" w:rsidR="0069610B" w:rsidRDefault="00E23717" w:rsidP="000C1974">
            <w:pPr>
              <w:rPr>
                <w:bCs/>
              </w:rPr>
            </w:pPr>
            <w:proofErr w:type="spellStart"/>
            <w:r>
              <w:t>Anzaldua</w:t>
            </w:r>
            <w:proofErr w:type="spellEnd"/>
            <w:r>
              <w:t xml:space="preserve"> #74 </w:t>
            </w:r>
            <w:r w:rsidRPr="003B7F89">
              <w:rPr>
                <w:bCs/>
              </w:rPr>
              <w:t>(K&amp;B)</w:t>
            </w:r>
          </w:p>
          <w:p w14:paraId="4CCAA319" w14:textId="24CA94C9" w:rsidR="006E4F5C" w:rsidRPr="00866C62" w:rsidRDefault="006E4F5C" w:rsidP="000C1974">
            <w:r>
              <w:rPr>
                <w:bCs/>
              </w:rPr>
              <w:t>Alarcon #81 (K&amp;B)</w:t>
            </w:r>
          </w:p>
        </w:tc>
      </w:tr>
      <w:tr w:rsidR="00062615" w14:paraId="7FB0F1E6" w14:textId="77777777" w:rsidTr="00062615">
        <w:tc>
          <w:tcPr>
            <w:tcW w:w="1728" w:type="dxa"/>
            <w:shd w:val="clear" w:color="auto" w:fill="auto"/>
          </w:tcPr>
          <w:p w14:paraId="6C3D9F9D" w14:textId="79362543" w:rsidR="00062615" w:rsidRDefault="00062615" w:rsidP="00062615"/>
        </w:tc>
        <w:tc>
          <w:tcPr>
            <w:tcW w:w="7128" w:type="dxa"/>
            <w:shd w:val="clear" w:color="auto" w:fill="auto"/>
          </w:tcPr>
          <w:p w14:paraId="13214DC3" w14:textId="77777777" w:rsidR="00062615" w:rsidRDefault="00062615" w:rsidP="00062615"/>
        </w:tc>
      </w:tr>
      <w:tr w:rsidR="00062615" w14:paraId="2CBD469A" w14:textId="77777777" w:rsidTr="00062615">
        <w:tc>
          <w:tcPr>
            <w:tcW w:w="1728" w:type="dxa"/>
            <w:shd w:val="clear" w:color="auto" w:fill="auto"/>
          </w:tcPr>
          <w:p w14:paraId="423D105F" w14:textId="77777777" w:rsidR="00062615" w:rsidRDefault="00062615" w:rsidP="00062615">
            <w:r>
              <w:t>Week 6</w:t>
            </w:r>
          </w:p>
          <w:p w14:paraId="3BA9E441" w14:textId="77777777" w:rsidR="00062615" w:rsidRDefault="00062615" w:rsidP="00062615">
            <w:r>
              <w:t>T 2/23</w:t>
            </w:r>
          </w:p>
        </w:tc>
        <w:tc>
          <w:tcPr>
            <w:tcW w:w="7128" w:type="dxa"/>
            <w:shd w:val="clear" w:color="auto" w:fill="auto"/>
          </w:tcPr>
          <w:p w14:paraId="07BEBC4D" w14:textId="77777777" w:rsidR="00CF5891" w:rsidRDefault="006323C8" w:rsidP="006323C8">
            <w:pPr>
              <w:rPr>
                <w:b/>
              </w:rPr>
            </w:pPr>
            <w:r w:rsidRPr="006323C8">
              <w:rPr>
                <w:b/>
              </w:rPr>
              <w:t>Psychoanalysis and Feminism</w:t>
            </w:r>
          </w:p>
          <w:p w14:paraId="2998500F" w14:textId="53440BB1" w:rsidR="00B23C5D" w:rsidRDefault="00B23C5D" w:rsidP="006323C8">
            <w:r>
              <w:t xml:space="preserve">Chanter, </w:t>
            </w:r>
            <w:proofErr w:type="spellStart"/>
            <w:r>
              <w:t>ch.</w:t>
            </w:r>
            <w:proofErr w:type="spellEnd"/>
            <w:r>
              <w:t xml:space="preserve"> 6.</w:t>
            </w:r>
          </w:p>
          <w:p w14:paraId="1956A58D" w14:textId="73CAD54F" w:rsidR="00EC7FEC" w:rsidRDefault="00EC7FEC" w:rsidP="006323C8">
            <w:r>
              <w:t>Horney #35 (K&amp;B)</w:t>
            </w:r>
          </w:p>
          <w:p w14:paraId="12E6DAB6" w14:textId="53FA7614" w:rsidR="00AB4A43" w:rsidRDefault="00AB4A43" w:rsidP="006323C8">
            <w:r>
              <w:t>Irigaray #59 (K&amp;B)</w:t>
            </w:r>
          </w:p>
          <w:p w14:paraId="7FA65FFC" w14:textId="0B39E401" w:rsidR="006323C8" w:rsidRPr="004A387E" w:rsidRDefault="004A387E" w:rsidP="006323C8">
            <w:r>
              <w:t xml:space="preserve">Mitchell, Introduction to </w:t>
            </w:r>
            <w:r>
              <w:rPr>
                <w:i/>
              </w:rPr>
              <w:t>Psychoanalysis and Feminism</w:t>
            </w:r>
            <w:r>
              <w:t xml:space="preserve"> </w:t>
            </w:r>
            <w:proofErr w:type="spellStart"/>
            <w:r w:rsidRPr="00AB4A43">
              <w:rPr>
                <w:b/>
              </w:rPr>
              <w:t>pdf</w:t>
            </w:r>
            <w:proofErr w:type="spellEnd"/>
            <w:r w:rsidRPr="00AB4A43">
              <w:rPr>
                <w:b/>
              </w:rPr>
              <w:t xml:space="preserve"> on BB</w:t>
            </w:r>
          </w:p>
        </w:tc>
      </w:tr>
      <w:tr w:rsidR="00062615" w14:paraId="4D1366D6" w14:textId="77777777" w:rsidTr="00062615">
        <w:tc>
          <w:tcPr>
            <w:tcW w:w="1728" w:type="dxa"/>
            <w:shd w:val="clear" w:color="auto" w:fill="auto"/>
          </w:tcPr>
          <w:p w14:paraId="744A45C1" w14:textId="660BD12D" w:rsidR="00062615" w:rsidRDefault="00062615" w:rsidP="00062615"/>
        </w:tc>
        <w:tc>
          <w:tcPr>
            <w:tcW w:w="7128" w:type="dxa"/>
            <w:shd w:val="clear" w:color="auto" w:fill="auto"/>
          </w:tcPr>
          <w:p w14:paraId="6062E5B6" w14:textId="77777777" w:rsidR="00062615" w:rsidRDefault="00062615" w:rsidP="00062615"/>
        </w:tc>
      </w:tr>
      <w:tr w:rsidR="00062615" w14:paraId="73448155" w14:textId="77777777" w:rsidTr="00062615">
        <w:tc>
          <w:tcPr>
            <w:tcW w:w="1728" w:type="dxa"/>
            <w:shd w:val="clear" w:color="auto" w:fill="auto"/>
          </w:tcPr>
          <w:p w14:paraId="7C5CF2E9" w14:textId="77777777" w:rsidR="00062615" w:rsidRDefault="00062615" w:rsidP="00062615">
            <w:r>
              <w:t>Week 7</w:t>
            </w:r>
          </w:p>
          <w:p w14:paraId="14DFC650" w14:textId="77777777" w:rsidR="00062615" w:rsidRDefault="003233BC" w:rsidP="00062615">
            <w:r>
              <w:t>T 3/1</w:t>
            </w:r>
          </w:p>
        </w:tc>
        <w:tc>
          <w:tcPr>
            <w:tcW w:w="7128" w:type="dxa"/>
            <w:shd w:val="clear" w:color="auto" w:fill="auto"/>
          </w:tcPr>
          <w:p w14:paraId="2B508291" w14:textId="4A90C9B0" w:rsidR="006323C8" w:rsidRDefault="00AB4A43" w:rsidP="006323C8">
            <w:pPr>
              <w:rPr>
                <w:b/>
              </w:rPr>
            </w:pPr>
            <w:r>
              <w:rPr>
                <w:b/>
              </w:rPr>
              <w:t>Sexuality</w:t>
            </w:r>
          </w:p>
          <w:p w14:paraId="058C795C" w14:textId="3DF1E968" w:rsidR="00FC5159" w:rsidRDefault="00FC5159" w:rsidP="00062615">
            <w:r>
              <w:t>Vance # 70 (K&amp;B)</w:t>
            </w:r>
          </w:p>
          <w:p w14:paraId="3053C0B2" w14:textId="400D47C1" w:rsidR="003C1ED6" w:rsidRDefault="003C1ED6" w:rsidP="00062615">
            <w:r w:rsidRPr="003C1ED6">
              <w:t>Mackinnon</w:t>
            </w:r>
            <w:r>
              <w:t xml:space="preserve"> #80 (K&amp;B)</w:t>
            </w:r>
          </w:p>
          <w:p w14:paraId="6FEC2F61" w14:textId="77777777" w:rsidR="006003AB" w:rsidRDefault="006003AB" w:rsidP="00062615">
            <w:r>
              <w:t>Wittig #63 (K&amp;B)</w:t>
            </w:r>
          </w:p>
          <w:p w14:paraId="2593D127" w14:textId="77777777" w:rsidR="006003AB" w:rsidRDefault="006003AB" w:rsidP="00062615">
            <w:r>
              <w:t>Rich #64 (K&amp;B)</w:t>
            </w:r>
          </w:p>
          <w:p w14:paraId="67C7B3AA" w14:textId="69A60DCB" w:rsidR="00C727C7" w:rsidRPr="0058553E" w:rsidRDefault="00C727C7" w:rsidP="00062615">
            <w:pPr>
              <w:rPr>
                <w:b/>
              </w:rPr>
            </w:pPr>
            <w:r>
              <w:t>Hammonds, “</w:t>
            </w:r>
            <w:r w:rsidR="00667D0B">
              <w:t xml:space="preserve">Toward </w:t>
            </w:r>
            <w:r>
              <w:t>a Genealogy of Black Female Sexuality”</w:t>
            </w:r>
            <w:r w:rsidR="0058553E">
              <w:t xml:space="preserve"> </w:t>
            </w:r>
            <w:proofErr w:type="spellStart"/>
            <w:r w:rsidR="0058553E">
              <w:rPr>
                <w:b/>
              </w:rPr>
              <w:t>pdf</w:t>
            </w:r>
            <w:proofErr w:type="spellEnd"/>
            <w:r w:rsidR="0058553E">
              <w:rPr>
                <w:b/>
              </w:rPr>
              <w:t xml:space="preserve"> on BB</w:t>
            </w:r>
          </w:p>
        </w:tc>
      </w:tr>
      <w:tr w:rsidR="00062615" w14:paraId="7E866149" w14:textId="77777777" w:rsidTr="00062615">
        <w:tc>
          <w:tcPr>
            <w:tcW w:w="1728" w:type="dxa"/>
            <w:shd w:val="clear" w:color="auto" w:fill="auto"/>
          </w:tcPr>
          <w:p w14:paraId="26228E65" w14:textId="30FED4F5" w:rsidR="00062615" w:rsidRDefault="00062615" w:rsidP="00062615"/>
        </w:tc>
        <w:tc>
          <w:tcPr>
            <w:tcW w:w="7128" w:type="dxa"/>
            <w:shd w:val="clear" w:color="auto" w:fill="auto"/>
          </w:tcPr>
          <w:p w14:paraId="16BD7D8E" w14:textId="77777777" w:rsidR="00062615" w:rsidRPr="006435DF" w:rsidRDefault="00062615" w:rsidP="00062615"/>
        </w:tc>
      </w:tr>
      <w:tr w:rsidR="00062615" w14:paraId="0155B901" w14:textId="77777777" w:rsidTr="00062615">
        <w:tc>
          <w:tcPr>
            <w:tcW w:w="1728" w:type="dxa"/>
            <w:shd w:val="clear" w:color="auto" w:fill="auto"/>
          </w:tcPr>
          <w:p w14:paraId="044F3046" w14:textId="77777777" w:rsidR="00062615" w:rsidRDefault="00062615" w:rsidP="00062615">
            <w:r>
              <w:t>Week 8</w:t>
            </w:r>
          </w:p>
          <w:p w14:paraId="6CFB9F8E" w14:textId="77777777" w:rsidR="00062615" w:rsidRDefault="003233BC" w:rsidP="00062615">
            <w:r>
              <w:t>T 3/8</w:t>
            </w:r>
          </w:p>
        </w:tc>
        <w:tc>
          <w:tcPr>
            <w:tcW w:w="7128" w:type="dxa"/>
            <w:shd w:val="clear" w:color="auto" w:fill="auto"/>
          </w:tcPr>
          <w:p w14:paraId="75D0412F" w14:textId="77777777" w:rsidR="00062615" w:rsidRDefault="00667D0B" w:rsidP="00062615">
            <w:pPr>
              <w:rPr>
                <w:b/>
              </w:rPr>
            </w:pPr>
            <w:r>
              <w:rPr>
                <w:b/>
              </w:rPr>
              <w:t>Bodies</w:t>
            </w:r>
          </w:p>
          <w:p w14:paraId="630B4106" w14:textId="41CA7F09" w:rsidR="009D4817" w:rsidRDefault="009D4817" w:rsidP="00062615">
            <w:r>
              <w:t xml:space="preserve">Chanter, </w:t>
            </w:r>
            <w:proofErr w:type="spellStart"/>
            <w:r>
              <w:t>ch.</w:t>
            </w:r>
            <w:proofErr w:type="spellEnd"/>
            <w:r>
              <w:t xml:space="preserve"> 3</w:t>
            </w:r>
          </w:p>
          <w:p w14:paraId="2E72BD8F" w14:textId="36C80224" w:rsidR="00FA6998" w:rsidRDefault="00FA6998" w:rsidP="00062615">
            <w:proofErr w:type="spellStart"/>
            <w:r>
              <w:t>Bordo</w:t>
            </w:r>
            <w:proofErr w:type="spellEnd"/>
            <w:r>
              <w:t xml:space="preserve"> #</w:t>
            </w:r>
            <w:r w:rsidR="00966660">
              <w:t xml:space="preserve">87 </w:t>
            </w:r>
            <w:r w:rsidR="00966660" w:rsidRPr="003B7F89">
              <w:rPr>
                <w:bCs/>
              </w:rPr>
              <w:t>(K&amp;B)</w:t>
            </w:r>
          </w:p>
          <w:p w14:paraId="22D45356" w14:textId="51DCB8FB" w:rsidR="00667D0B" w:rsidRDefault="00667D0B" w:rsidP="00062615">
            <w:proofErr w:type="spellStart"/>
            <w:r>
              <w:t>Halberstam</w:t>
            </w:r>
            <w:proofErr w:type="spellEnd"/>
            <w:r w:rsidR="0058553E">
              <w:t xml:space="preserve">, </w:t>
            </w:r>
            <w:r w:rsidR="00004B07">
              <w:t>“</w:t>
            </w:r>
            <w:r w:rsidR="0058553E">
              <w:t>F2M</w:t>
            </w:r>
            <w:r w:rsidR="00004B07">
              <w:t>”</w:t>
            </w:r>
            <w:r w:rsidR="000E5C29">
              <w:t xml:space="preserve"> </w:t>
            </w:r>
            <w:proofErr w:type="spellStart"/>
            <w:r w:rsidR="000E5C29" w:rsidRPr="00F41600">
              <w:rPr>
                <w:b/>
              </w:rPr>
              <w:t>pdf</w:t>
            </w:r>
            <w:proofErr w:type="spellEnd"/>
          </w:p>
          <w:p w14:paraId="1C463F54" w14:textId="4719DA94" w:rsidR="00DD68BB" w:rsidRDefault="00DD68BB" w:rsidP="00062615">
            <w:r>
              <w:t xml:space="preserve">Garland-Thompson, </w:t>
            </w:r>
            <w:r w:rsidR="000E5C29">
              <w:t>#97</w:t>
            </w:r>
          </w:p>
          <w:p w14:paraId="403D2EBB" w14:textId="303ADD67" w:rsidR="00F41600" w:rsidRDefault="00F41600" w:rsidP="00062615">
            <w:proofErr w:type="spellStart"/>
            <w:r>
              <w:t>Haraway</w:t>
            </w:r>
            <w:proofErr w:type="spellEnd"/>
            <w:r>
              <w:t>, “</w:t>
            </w:r>
            <w:proofErr w:type="spellStart"/>
            <w:r>
              <w:t>Biopolitics</w:t>
            </w:r>
            <w:proofErr w:type="spellEnd"/>
            <w:r>
              <w:t xml:space="preserve"> of Postmodern Bodies” </w:t>
            </w:r>
            <w:proofErr w:type="spellStart"/>
            <w:r w:rsidRPr="00F41600">
              <w:rPr>
                <w:b/>
              </w:rPr>
              <w:t>pdf</w:t>
            </w:r>
            <w:proofErr w:type="spellEnd"/>
            <w:r w:rsidRPr="00F41600">
              <w:rPr>
                <w:b/>
              </w:rPr>
              <w:t xml:space="preserve"> on BB</w:t>
            </w:r>
          </w:p>
          <w:p w14:paraId="0C24F849" w14:textId="7D0D6B3F" w:rsidR="00A15D72" w:rsidRPr="00667D0B" w:rsidRDefault="00A15D72" w:rsidP="00062615">
            <w:r>
              <w:t xml:space="preserve">Balsamo, “Forms of Technological Embodiment” </w:t>
            </w:r>
            <w:proofErr w:type="spellStart"/>
            <w:r w:rsidRPr="00FD6014">
              <w:rPr>
                <w:b/>
              </w:rPr>
              <w:t>pdf</w:t>
            </w:r>
            <w:proofErr w:type="spellEnd"/>
            <w:r w:rsidR="00FD6014" w:rsidRPr="00FD6014">
              <w:rPr>
                <w:b/>
              </w:rPr>
              <w:t xml:space="preserve"> on BB</w:t>
            </w:r>
          </w:p>
        </w:tc>
      </w:tr>
      <w:tr w:rsidR="00062615" w14:paraId="3AF9A2EF" w14:textId="77777777" w:rsidTr="00062615">
        <w:tc>
          <w:tcPr>
            <w:tcW w:w="1728" w:type="dxa"/>
            <w:shd w:val="clear" w:color="auto" w:fill="auto"/>
          </w:tcPr>
          <w:p w14:paraId="50A6FC7B" w14:textId="51619A0A" w:rsidR="00062615" w:rsidRDefault="00062615" w:rsidP="00062615"/>
        </w:tc>
        <w:tc>
          <w:tcPr>
            <w:tcW w:w="7128" w:type="dxa"/>
            <w:shd w:val="clear" w:color="auto" w:fill="auto"/>
          </w:tcPr>
          <w:p w14:paraId="3130DF77" w14:textId="77777777" w:rsidR="00062615" w:rsidRPr="003236A4" w:rsidRDefault="00062615" w:rsidP="00062615">
            <w:pPr>
              <w:rPr>
                <w:b/>
              </w:rPr>
            </w:pPr>
          </w:p>
        </w:tc>
      </w:tr>
      <w:tr w:rsidR="00062615" w14:paraId="7D29FCDA" w14:textId="77777777" w:rsidTr="00062615">
        <w:tc>
          <w:tcPr>
            <w:tcW w:w="1728" w:type="dxa"/>
            <w:shd w:val="clear" w:color="auto" w:fill="auto"/>
          </w:tcPr>
          <w:p w14:paraId="15EC8856" w14:textId="77777777" w:rsidR="00062615" w:rsidRDefault="00062615" w:rsidP="00062615">
            <w:r>
              <w:t>Week 9</w:t>
            </w:r>
          </w:p>
          <w:p w14:paraId="2E371918" w14:textId="77777777" w:rsidR="00062615" w:rsidRDefault="003233BC" w:rsidP="00062615">
            <w:r>
              <w:t>T 3/15</w:t>
            </w:r>
          </w:p>
        </w:tc>
        <w:tc>
          <w:tcPr>
            <w:tcW w:w="7128" w:type="dxa"/>
            <w:shd w:val="clear" w:color="auto" w:fill="auto"/>
          </w:tcPr>
          <w:p w14:paraId="12CA7CFF" w14:textId="77777777" w:rsidR="00062615" w:rsidRPr="00775DE1" w:rsidRDefault="00062615" w:rsidP="00062615">
            <w:pPr>
              <w:rPr>
                <w:b/>
              </w:rPr>
            </w:pPr>
            <w:r>
              <w:rPr>
                <w:b/>
              </w:rPr>
              <w:t>SPRING BREAK</w:t>
            </w:r>
          </w:p>
        </w:tc>
      </w:tr>
      <w:tr w:rsidR="00062615" w14:paraId="6F00E46A" w14:textId="77777777" w:rsidTr="00062615">
        <w:tc>
          <w:tcPr>
            <w:tcW w:w="1728" w:type="dxa"/>
            <w:shd w:val="clear" w:color="auto" w:fill="auto"/>
          </w:tcPr>
          <w:p w14:paraId="4ED63C91" w14:textId="77777777" w:rsidR="00062615" w:rsidRDefault="00062615" w:rsidP="00062615"/>
        </w:tc>
        <w:tc>
          <w:tcPr>
            <w:tcW w:w="7128" w:type="dxa"/>
            <w:shd w:val="clear" w:color="auto" w:fill="auto"/>
          </w:tcPr>
          <w:p w14:paraId="0BDE6CCE" w14:textId="77777777" w:rsidR="00062615" w:rsidRDefault="00062615" w:rsidP="00062615"/>
        </w:tc>
      </w:tr>
      <w:tr w:rsidR="00062615" w14:paraId="169D85C2" w14:textId="77777777" w:rsidTr="00062615">
        <w:tc>
          <w:tcPr>
            <w:tcW w:w="1728" w:type="dxa"/>
            <w:shd w:val="clear" w:color="auto" w:fill="auto"/>
          </w:tcPr>
          <w:p w14:paraId="10479E96" w14:textId="77777777" w:rsidR="00062615" w:rsidRDefault="00062615" w:rsidP="00062615">
            <w:r>
              <w:t>Week 10</w:t>
            </w:r>
          </w:p>
          <w:p w14:paraId="269B9F82" w14:textId="77777777" w:rsidR="00062615" w:rsidRDefault="003233BC" w:rsidP="00062615">
            <w:r>
              <w:t>T 3/22</w:t>
            </w:r>
          </w:p>
        </w:tc>
        <w:tc>
          <w:tcPr>
            <w:tcW w:w="7128" w:type="dxa"/>
            <w:shd w:val="clear" w:color="auto" w:fill="auto"/>
          </w:tcPr>
          <w:p w14:paraId="3B430EDA" w14:textId="6BF0EDC4" w:rsidR="00062615" w:rsidRPr="0021104D" w:rsidRDefault="003233BC" w:rsidP="00062615">
            <w:r w:rsidRPr="00AA34CD">
              <w:rPr>
                <w:b/>
                <w:highlight w:val="green"/>
              </w:rPr>
              <w:t>NO CLASS—</w:t>
            </w:r>
            <w:r w:rsidR="00AA34CD" w:rsidRPr="00AA34CD">
              <w:rPr>
                <w:b/>
                <w:highlight w:val="green"/>
              </w:rPr>
              <w:t xml:space="preserve">Longer </w:t>
            </w:r>
            <w:r w:rsidRPr="00AA34CD">
              <w:rPr>
                <w:b/>
                <w:highlight w:val="green"/>
              </w:rPr>
              <w:t>Paper Due</w:t>
            </w:r>
          </w:p>
        </w:tc>
      </w:tr>
      <w:tr w:rsidR="00062615" w14:paraId="74225130" w14:textId="77777777" w:rsidTr="00062615">
        <w:tc>
          <w:tcPr>
            <w:tcW w:w="1728" w:type="dxa"/>
            <w:shd w:val="clear" w:color="auto" w:fill="auto"/>
          </w:tcPr>
          <w:p w14:paraId="34211EAC" w14:textId="77777777" w:rsidR="00062615" w:rsidRDefault="00062615" w:rsidP="00062615"/>
        </w:tc>
        <w:tc>
          <w:tcPr>
            <w:tcW w:w="7128" w:type="dxa"/>
            <w:shd w:val="clear" w:color="auto" w:fill="auto"/>
          </w:tcPr>
          <w:p w14:paraId="75A272FD" w14:textId="77777777" w:rsidR="00062615" w:rsidRDefault="00062615" w:rsidP="00062615"/>
        </w:tc>
      </w:tr>
      <w:tr w:rsidR="00062615" w14:paraId="76183FDF" w14:textId="77777777" w:rsidTr="00062615">
        <w:tc>
          <w:tcPr>
            <w:tcW w:w="1728" w:type="dxa"/>
            <w:shd w:val="clear" w:color="auto" w:fill="auto"/>
          </w:tcPr>
          <w:p w14:paraId="63919340" w14:textId="77777777" w:rsidR="00062615" w:rsidRDefault="00062615" w:rsidP="00062615">
            <w:r>
              <w:t>Week 11</w:t>
            </w:r>
          </w:p>
          <w:p w14:paraId="62CADEFB" w14:textId="77777777" w:rsidR="00062615" w:rsidRDefault="003233BC" w:rsidP="00062615">
            <w:r>
              <w:t>T 3/29</w:t>
            </w:r>
          </w:p>
        </w:tc>
        <w:tc>
          <w:tcPr>
            <w:tcW w:w="7128" w:type="dxa"/>
            <w:shd w:val="clear" w:color="auto" w:fill="auto"/>
          </w:tcPr>
          <w:p w14:paraId="3AB4E05A" w14:textId="77777777" w:rsidR="00062615" w:rsidRDefault="00667D0B" w:rsidP="00062615">
            <w:pPr>
              <w:rPr>
                <w:b/>
              </w:rPr>
            </w:pPr>
            <w:r>
              <w:rPr>
                <w:b/>
              </w:rPr>
              <w:t>Science and Feminism</w:t>
            </w:r>
          </w:p>
          <w:p w14:paraId="2D20FB3E" w14:textId="0790E885" w:rsidR="00966660" w:rsidRPr="00985893" w:rsidRDefault="00667D0B" w:rsidP="003B7F89">
            <w:r>
              <w:t>Martin</w:t>
            </w:r>
            <w:r w:rsidR="0058553E">
              <w:t xml:space="preserve">, “The Egg and the Sperm” </w:t>
            </w:r>
            <w:proofErr w:type="spellStart"/>
            <w:r w:rsidR="0058553E">
              <w:t>pdf</w:t>
            </w:r>
            <w:proofErr w:type="spellEnd"/>
            <w:r w:rsidR="0058553E">
              <w:t xml:space="preserve"> on BB</w:t>
            </w:r>
          </w:p>
          <w:p w14:paraId="3D6E7F44" w14:textId="4F9F4B85" w:rsidR="00966660" w:rsidRDefault="00966660" w:rsidP="003B7F89">
            <w:pPr>
              <w:rPr>
                <w:bCs/>
              </w:rPr>
            </w:pPr>
            <w:proofErr w:type="spellStart"/>
            <w:r>
              <w:rPr>
                <w:bCs/>
              </w:rPr>
              <w:t>Fausto</w:t>
            </w:r>
            <w:proofErr w:type="spellEnd"/>
            <w:r>
              <w:rPr>
                <w:bCs/>
              </w:rPr>
              <w:t xml:space="preserve">-Sterling, “Sexing the Brain” </w:t>
            </w:r>
            <w:proofErr w:type="spellStart"/>
            <w:r>
              <w:rPr>
                <w:bCs/>
              </w:rPr>
              <w:t>pdf</w:t>
            </w:r>
            <w:proofErr w:type="spellEnd"/>
          </w:p>
          <w:p w14:paraId="1BD93022" w14:textId="228EC9E7" w:rsidR="003B7F89" w:rsidRPr="00667D0B" w:rsidRDefault="009E4BC0" w:rsidP="003B7F89">
            <w:r>
              <w:rPr>
                <w:bCs/>
              </w:rPr>
              <w:t>King</w:t>
            </w:r>
            <w:r w:rsidR="003B7F89">
              <w:rPr>
                <w:bCs/>
              </w:rPr>
              <w:t xml:space="preserve"> # 79 </w:t>
            </w:r>
            <w:r w:rsidR="003B7F89" w:rsidRPr="003B7F89">
              <w:rPr>
                <w:bCs/>
              </w:rPr>
              <w:t>(K&amp;B)</w:t>
            </w:r>
          </w:p>
        </w:tc>
      </w:tr>
      <w:tr w:rsidR="00062615" w14:paraId="0538F1B2" w14:textId="77777777" w:rsidTr="00062615">
        <w:tc>
          <w:tcPr>
            <w:tcW w:w="1728" w:type="dxa"/>
            <w:shd w:val="clear" w:color="auto" w:fill="auto"/>
          </w:tcPr>
          <w:p w14:paraId="1B573EB5" w14:textId="6E77007C" w:rsidR="00062615" w:rsidRDefault="00062615" w:rsidP="00062615"/>
        </w:tc>
        <w:tc>
          <w:tcPr>
            <w:tcW w:w="7128" w:type="dxa"/>
            <w:shd w:val="clear" w:color="auto" w:fill="auto"/>
          </w:tcPr>
          <w:p w14:paraId="7D0D606B" w14:textId="77777777" w:rsidR="00062615" w:rsidRPr="003236A4" w:rsidRDefault="00062615" w:rsidP="00062615">
            <w:pPr>
              <w:rPr>
                <w:b/>
              </w:rPr>
            </w:pPr>
          </w:p>
        </w:tc>
      </w:tr>
      <w:tr w:rsidR="00062615" w14:paraId="3E505BCB" w14:textId="77777777" w:rsidTr="00062615">
        <w:tc>
          <w:tcPr>
            <w:tcW w:w="1728" w:type="dxa"/>
            <w:shd w:val="clear" w:color="auto" w:fill="auto"/>
          </w:tcPr>
          <w:p w14:paraId="749CE0D9" w14:textId="77777777" w:rsidR="00062615" w:rsidRDefault="00062615" w:rsidP="00062615">
            <w:r>
              <w:t>Week 12</w:t>
            </w:r>
          </w:p>
          <w:p w14:paraId="416AE4F6" w14:textId="77777777" w:rsidR="00062615" w:rsidRDefault="003233BC" w:rsidP="00062615">
            <w:r>
              <w:t>T 4/5</w:t>
            </w:r>
          </w:p>
        </w:tc>
        <w:tc>
          <w:tcPr>
            <w:tcW w:w="7128" w:type="dxa"/>
            <w:shd w:val="clear" w:color="auto" w:fill="auto"/>
          </w:tcPr>
          <w:p w14:paraId="342CC9D1" w14:textId="77777777" w:rsidR="00062615" w:rsidRDefault="00A15D72" w:rsidP="00062615">
            <w:pPr>
              <w:rPr>
                <w:b/>
              </w:rPr>
            </w:pPr>
            <w:r>
              <w:rPr>
                <w:b/>
              </w:rPr>
              <w:t>Feminism and Motherhood</w:t>
            </w:r>
          </w:p>
          <w:p w14:paraId="6757FA0D" w14:textId="59D00F0B" w:rsidR="003B7F89" w:rsidRDefault="003B7F89" w:rsidP="00062615">
            <w:proofErr w:type="spellStart"/>
            <w:r>
              <w:t>Chodorow</w:t>
            </w:r>
            <w:proofErr w:type="spellEnd"/>
            <w:r>
              <w:t xml:space="preserve"> #60 </w:t>
            </w:r>
            <w:r w:rsidRPr="003B7F89">
              <w:rPr>
                <w:bCs/>
              </w:rPr>
              <w:t>(K&amp;B)</w:t>
            </w:r>
          </w:p>
          <w:p w14:paraId="0A8B6B29" w14:textId="77777777" w:rsidR="003B7F89" w:rsidRDefault="003B7F89" w:rsidP="00062615">
            <w:proofErr w:type="spellStart"/>
            <w:r>
              <w:t>Sawicki</w:t>
            </w:r>
            <w:proofErr w:type="spellEnd"/>
            <w:r>
              <w:t xml:space="preserve">, “Disciplining Mothers” </w:t>
            </w:r>
            <w:proofErr w:type="spellStart"/>
            <w:r>
              <w:t>pdf</w:t>
            </w:r>
            <w:proofErr w:type="spellEnd"/>
            <w:r>
              <w:t xml:space="preserve"> on BB</w:t>
            </w:r>
          </w:p>
          <w:p w14:paraId="084C0492" w14:textId="77777777" w:rsidR="003B7F89" w:rsidRDefault="003B7F89" w:rsidP="00062615">
            <w:pPr>
              <w:rPr>
                <w:bCs/>
              </w:rPr>
            </w:pPr>
            <w:r>
              <w:t xml:space="preserve">Davis #85 </w:t>
            </w:r>
            <w:r w:rsidRPr="003B7F89">
              <w:rPr>
                <w:bCs/>
              </w:rPr>
              <w:t>(K&amp;B)</w:t>
            </w:r>
          </w:p>
          <w:p w14:paraId="359C2E80" w14:textId="1D42F5B6" w:rsidR="00041A99" w:rsidRDefault="00041A99" w:rsidP="00062615">
            <w:pPr>
              <w:rPr>
                <w:bCs/>
              </w:rPr>
            </w:pPr>
            <w:proofErr w:type="spellStart"/>
            <w:r>
              <w:rPr>
                <w:bCs/>
              </w:rPr>
              <w:t>Baraitser</w:t>
            </w:r>
            <w:proofErr w:type="spellEnd"/>
            <w:r>
              <w:rPr>
                <w:bCs/>
              </w:rPr>
              <w:t>, “</w:t>
            </w:r>
            <w:proofErr w:type="spellStart"/>
            <w:r>
              <w:rPr>
                <w:bCs/>
              </w:rPr>
              <w:t>Oi</w:t>
            </w:r>
            <w:proofErr w:type="spellEnd"/>
            <w:r>
              <w:rPr>
                <w:bCs/>
              </w:rPr>
              <w:t xml:space="preserve"> Mother, Keep Ye’ Hair On!” </w:t>
            </w:r>
            <w:hyperlink r:id="rId14" w:history="1">
              <w:r w:rsidR="00004B07" w:rsidRPr="00F61CAD">
                <w:rPr>
                  <w:rStyle w:val="Hyperlink"/>
                  <w:bCs/>
                </w:rPr>
                <w:t>http://www.mamsie.org/wp-content/librarypapers/Baraitser,+L+%282006%29.+Oi+Mother,.pdf</w:t>
              </w:r>
            </w:hyperlink>
          </w:p>
          <w:p w14:paraId="3CDE7C39" w14:textId="670D6797" w:rsidR="003B7F89" w:rsidRPr="00A15D72" w:rsidRDefault="003B7F89" w:rsidP="00062615"/>
        </w:tc>
      </w:tr>
      <w:tr w:rsidR="00062615" w14:paraId="277E062C" w14:textId="77777777" w:rsidTr="00062615">
        <w:tc>
          <w:tcPr>
            <w:tcW w:w="1728" w:type="dxa"/>
            <w:shd w:val="clear" w:color="auto" w:fill="auto"/>
          </w:tcPr>
          <w:p w14:paraId="2BDE405B" w14:textId="219ABF8A" w:rsidR="00062615" w:rsidRDefault="00062615" w:rsidP="00062615"/>
        </w:tc>
        <w:tc>
          <w:tcPr>
            <w:tcW w:w="7128" w:type="dxa"/>
            <w:shd w:val="clear" w:color="auto" w:fill="auto"/>
          </w:tcPr>
          <w:p w14:paraId="0857B316" w14:textId="77777777" w:rsidR="00062615" w:rsidRDefault="00062615" w:rsidP="00062615"/>
        </w:tc>
      </w:tr>
      <w:tr w:rsidR="00062615" w14:paraId="434E8131" w14:textId="77777777" w:rsidTr="00062615">
        <w:tc>
          <w:tcPr>
            <w:tcW w:w="1728" w:type="dxa"/>
            <w:shd w:val="clear" w:color="auto" w:fill="auto"/>
          </w:tcPr>
          <w:p w14:paraId="28BF7BC9" w14:textId="77777777" w:rsidR="00062615" w:rsidRDefault="00062615" w:rsidP="00062615">
            <w:r>
              <w:t>Week 13</w:t>
            </w:r>
          </w:p>
          <w:p w14:paraId="54FC9187" w14:textId="77777777" w:rsidR="00062615" w:rsidRDefault="003233BC" w:rsidP="00062615">
            <w:r>
              <w:t>T 4/12</w:t>
            </w:r>
          </w:p>
        </w:tc>
        <w:tc>
          <w:tcPr>
            <w:tcW w:w="7128" w:type="dxa"/>
            <w:shd w:val="clear" w:color="auto" w:fill="auto"/>
          </w:tcPr>
          <w:p w14:paraId="095F387D" w14:textId="579B93DB" w:rsidR="00062615" w:rsidRPr="00756F74" w:rsidRDefault="00642001" w:rsidP="00062615">
            <w:pPr>
              <w:rPr>
                <w:b/>
              </w:rPr>
            </w:pPr>
            <w:r>
              <w:rPr>
                <w:b/>
              </w:rPr>
              <w:t>Feminist Methodologies</w:t>
            </w:r>
          </w:p>
          <w:p w14:paraId="3E6E8AAC" w14:textId="31CAC16D" w:rsidR="00966660" w:rsidRDefault="00966660" w:rsidP="00062615">
            <w:r>
              <w:t xml:space="preserve">Chanter </w:t>
            </w:r>
            <w:proofErr w:type="spellStart"/>
            <w:r>
              <w:t>ch.</w:t>
            </w:r>
            <w:proofErr w:type="spellEnd"/>
            <w:r>
              <w:t xml:space="preserve"> 4</w:t>
            </w:r>
          </w:p>
          <w:p w14:paraId="78997B26" w14:textId="1979CED2" w:rsidR="00642001" w:rsidRPr="00D577B6" w:rsidRDefault="00642001" w:rsidP="00062615">
            <w:pPr>
              <w:rPr>
                <w:b/>
              </w:rPr>
            </w:pPr>
            <w:r>
              <w:t>Hardin</w:t>
            </w:r>
            <w:r w:rsidR="003454CA">
              <w:t>g</w:t>
            </w:r>
            <w:r>
              <w:t xml:space="preserve">, “Feminist Standpoints” </w:t>
            </w:r>
            <w:proofErr w:type="spellStart"/>
            <w:r w:rsidRPr="00D577B6">
              <w:rPr>
                <w:b/>
              </w:rPr>
              <w:t>pdf</w:t>
            </w:r>
            <w:proofErr w:type="spellEnd"/>
            <w:r w:rsidRPr="00D577B6">
              <w:rPr>
                <w:b/>
              </w:rPr>
              <w:t xml:space="preserve"> on BB</w:t>
            </w:r>
          </w:p>
          <w:p w14:paraId="4827EEAA" w14:textId="2BC7F395" w:rsidR="00966660" w:rsidRDefault="00FF292A" w:rsidP="00062615">
            <w:r>
              <w:t>Scott #74 (K&amp;B)</w:t>
            </w:r>
          </w:p>
          <w:p w14:paraId="7867DB21" w14:textId="4952CD75" w:rsidR="00756F74" w:rsidRDefault="00F41600" w:rsidP="00642001">
            <w:proofErr w:type="spellStart"/>
            <w:r>
              <w:t>Bordo</w:t>
            </w:r>
            <w:proofErr w:type="spellEnd"/>
            <w:r>
              <w:t xml:space="preserve">, “Feminism and Foucault” </w:t>
            </w:r>
            <w:proofErr w:type="spellStart"/>
            <w:r w:rsidRPr="00D577B6">
              <w:rPr>
                <w:b/>
              </w:rPr>
              <w:t>pdf</w:t>
            </w:r>
            <w:proofErr w:type="spellEnd"/>
            <w:r w:rsidR="00D577B6">
              <w:rPr>
                <w:b/>
              </w:rPr>
              <w:t xml:space="preserve"> on BB</w:t>
            </w:r>
          </w:p>
        </w:tc>
      </w:tr>
      <w:tr w:rsidR="00062615" w14:paraId="314D7373" w14:textId="77777777" w:rsidTr="00062615">
        <w:tc>
          <w:tcPr>
            <w:tcW w:w="1728" w:type="dxa"/>
            <w:shd w:val="clear" w:color="auto" w:fill="auto"/>
          </w:tcPr>
          <w:p w14:paraId="35BF068C" w14:textId="0FC1E299" w:rsidR="00062615" w:rsidRDefault="00062615" w:rsidP="00062615"/>
        </w:tc>
        <w:tc>
          <w:tcPr>
            <w:tcW w:w="7128" w:type="dxa"/>
            <w:shd w:val="clear" w:color="auto" w:fill="auto"/>
          </w:tcPr>
          <w:p w14:paraId="7C6B0937" w14:textId="77777777" w:rsidR="00062615" w:rsidRDefault="00062615" w:rsidP="00062615"/>
        </w:tc>
      </w:tr>
      <w:tr w:rsidR="00062615" w14:paraId="09200CCA" w14:textId="77777777" w:rsidTr="00062615">
        <w:tc>
          <w:tcPr>
            <w:tcW w:w="1728" w:type="dxa"/>
            <w:shd w:val="clear" w:color="auto" w:fill="auto"/>
          </w:tcPr>
          <w:p w14:paraId="0352CEFC" w14:textId="77777777" w:rsidR="00062615" w:rsidRDefault="00062615" w:rsidP="00062615">
            <w:r>
              <w:t>Week 14</w:t>
            </w:r>
          </w:p>
          <w:p w14:paraId="1ADB429C" w14:textId="77777777" w:rsidR="00062615" w:rsidRDefault="003233BC" w:rsidP="00062615">
            <w:r>
              <w:t>T 4/19</w:t>
            </w:r>
          </w:p>
        </w:tc>
        <w:tc>
          <w:tcPr>
            <w:tcW w:w="7128" w:type="dxa"/>
            <w:shd w:val="clear" w:color="auto" w:fill="auto"/>
          </w:tcPr>
          <w:p w14:paraId="5AE46DB2" w14:textId="04136491" w:rsidR="009E4BC0" w:rsidRPr="009E4BC0" w:rsidRDefault="009E4BC0" w:rsidP="00642001">
            <w:pPr>
              <w:rPr>
                <w:b/>
              </w:rPr>
            </w:pPr>
            <w:r w:rsidRPr="009E4BC0">
              <w:rPr>
                <w:b/>
              </w:rPr>
              <w:t>Methodologies, cont.</w:t>
            </w:r>
          </w:p>
          <w:p w14:paraId="7F4A370B" w14:textId="77777777" w:rsidR="00642001" w:rsidRDefault="00642001" w:rsidP="00642001">
            <w:r>
              <w:t xml:space="preserve">Mohanty#69 </w:t>
            </w:r>
            <w:r w:rsidRPr="003B7F89">
              <w:rPr>
                <w:bCs/>
              </w:rPr>
              <w:t>(K&amp;B)</w:t>
            </w:r>
          </w:p>
          <w:p w14:paraId="7B133161" w14:textId="77777777" w:rsidR="00EA1C86" w:rsidRDefault="00642001" w:rsidP="00062615">
            <w:r>
              <w:t xml:space="preserve">Pillow and Mayo, “Toward Understandings of Feminist Ethnography” </w:t>
            </w:r>
            <w:proofErr w:type="spellStart"/>
            <w:r w:rsidRPr="00D577B6">
              <w:rPr>
                <w:b/>
              </w:rPr>
              <w:t>pdf</w:t>
            </w:r>
            <w:proofErr w:type="spellEnd"/>
            <w:r w:rsidRPr="00D577B6">
              <w:rPr>
                <w:b/>
              </w:rPr>
              <w:t xml:space="preserve"> on BB</w:t>
            </w:r>
          </w:p>
          <w:p w14:paraId="689722D4" w14:textId="0496636A" w:rsidR="00277119" w:rsidRPr="00EA1C86" w:rsidRDefault="00277119" w:rsidP="00062615">
            <w:r>
              <w:t xml:space="preserve">Moss, “Emergent Methods” </w:t>
            </w:r>
            <w:proofErr w:type="spellStart"/>
            <w:r w:rsidRPr="00D577B6">
              <w:rPr>
                <w:b/>
              </w:rPr>
              <w:t>pdf</w:t>
            </w:r>
            <w:proofErr w:type="spellEnd"/>
            <w:r w:rsidRPr="00D577B6">
              <w:rPr>
                <w:b/>
              </w:rPr>
              <w:t xml:space="preserve"> on BB</w:t>
            </w:r>
          </w:p>
        </w:tc>
      </w:tr>
      <w:tr w:rsidR="00062615" w14:paraId="4C0485D0" w14:textId="77777777" w:rsidTr="00062615">
        <w:tc>
          <w:tcPr>
            <w:tcW w:w="1728" w:type="dxa"/>
            <w:shd w:val="clear" w:color="auto" w:fill="auto"/>
          </w:tcPr>
          <w:p w14:paraId="2D9758D5" w14:textId="5566ABF6" w:rsidR="00062615" w:rsidRDefault="00062615" w:rsidP="00062615"/>
        </w:tc>
        <w:tc>
          <w:tcPr>
            <w:tcW w:w="7128" w:type="dxa"/>
            <w:shd w:val="clear" w:color="auto" w:fill="auto"/>
          </w:tcPr>
          <w:p w14:paraId="2237A6BE" w14:textId="77777777" w:rsidR="00062615" w:rsidRDefault="00062615" w:rsidP="00062615"/>
        </w:tc>
      </w:tr>
      <w:tr w:rsidR="00062615" w14:paraId="7624D9EA" w14:textId="77777777" w:rsidTr="00062615">
        <w:tc>
          <w:tcPr>
            <w:tcW w:w="1728" w:type="dxa"/>
            <w:shd w:val="clear" w:color="auto" w:fill="auto"/>
          </w:tcPr>
          <w:p w14:paraId="648E5EA4" w14:textId="77777777" w:rsidR="00062615" w:rsidRDefault="00062615" w:rsidP="00062615">
            <w:r>
              <w:t>Week 15</w:t>
            </w:r>
          </w:p>
          <w:p w14:paraId="44D1B0DD" w14:textId="77777777" w:rsidR="00062615" w:rsidRDefault="003233BC" w:rsidP="00062615">
            <w:r>
              <w:t>T 4/26</w:t>
            </w:r>
          </w:p>
        </w:tc>
        <w:tc>
          <w:tcPr>
            <w:tcW w:w="7128" w:type="dxa"/>
            <w:shd w:val="clear" w:color="auto" w:fill="auto"/>
          </w:tcPr>
          <w:p w14:paraId="22D69A37" w14:textId="77777777" w:rsidR="00642001" w:rsidRDefault="00642001" w:rsidP="00642001">
            <w:pPr>
              <w:rPr>
                <w:b/>
              </w:rPr>
            </w:pPr>
            <w:r>
              <w:rPr>
                <w:b/>
              </w:rPr>
              <w:t>Feminism and Authorship</w:t>
            </w:r>
          </w:p>
          <w:p w14:paraId="1DE6FD3C" w14:textId="77777777" w:rsidR="00642001" w:rsidRDefault="00642001" w:rsidP="00642001">
            <w:r>
              <w:t>Woolf #34 (K&amp;B)</w:t>
            </w:r>
          </w:p>
          <w:p w14:paraId="418DA4B0" w14:textId="77777777" w:rsidR="00642001" w:rsidRDefault="00642001" w:rsidP="00642001">
            <w:proofErr w:type="spellStart"/>
            <w:r>
              <w:t>Cixous</w:t>
            </w:r>
            <w:proofErr w:type="spellEnd"/>
            <w:r>
              <w:t xml:space="preserve"> #52 (K&amp;B)</w:t>
            </w:r>
          </w:p>
          <w:p w14:paraId="3B7AEEB8" w14:textId="71F3CF1F" w:rsidR="00062615" w:rsidRDefault="00642001" w:rsidP="00642001">
            <w:r>
              <w:t xml:space="preserve">Du </w:t>
            </w:r>
            <w:proofErr w:type="spellStart"/>
            <w:r>
              <w:t>Plessis</w:t>
            </w:r>
            <w:proofErr w:type="spellEnd"/>
            <w:r>
              <w:t xml:space="preserve">, “Breaking the Sentence, Breaking the Sequence” </w:t>
            </w:r>
            <w:proofErr w:type="spellStart"/>
            <w:r>
              <w:t>pdf</w:t>
            </w:r>
            <w:proofErr w:type="spellEnd"/>
            <w:r>
              <w:t xml:space="preserve"> on BB</w:t>
            </w:r>
          </w:p>
        </w:tc>
      </w:tr>
      <w:tr w:rsidR="00062615" w14:paraId="7E5D993D" w14:textId="77777777" w:rsidTr="00062615">
        <w:tc>
          <w:tcPr>
            <w:tcW w:w="1728" w:type="dxa"/>
            <w:shd w:val="clear" w:color="auto" w:fill="auto"/>
          </w:tcPr>
          <w:p w14:paraId="7EC8D460" w14:textId="77777777" w:rsidR="00062615" w:rsidRDefault="00062615" w:rsidP="00062615"/>
        </w:tc>
        <w:tc>
          <w:tcPr>
            <w:tcW w:w="7128" w:type="dxa"/>
            <w:shd w:val="clear" w:color="auto" w:fill="auto"/>
          </w:tcPr>
          <w:p w14:paraId="79885624" w14:textId="77777777" w:rsidR="00062615" w:rsidRDefault="00062615" w:rsidP="00062615"/>
        </w:tc>
      </w:tr>
      <w:tr w:rsidR="00062615" w14:paraId="3DDA9321" w14:textId="77777777" w:rsidTr="00062615">
        <w:tc>
          <w:tcPr>
            <w:tcW w:w="1728" w:type="dxa"/>
            <w:shd w:val="clear" w:color="auto" w:fill="auto"/>
          </w:tcPr>
          <w:p w14:paraId="67CCA43B" w14:textId="77777777" w:rsidR="00062615" w:rsidRDefault="00062615" w:rsidP="00062615">
            <w:r>
              <w:t>Week 16</w:t>
            </w:r>
          </w:p>
          <w:p w14:paraId="30C55B01" w14:textId="77777777" w:rsidR="00062615" w:rsidRDefault="003233BC" w:rsidP="00062615">
            <w:r>
              <w:t>T 5/3</w:t>
            </w:r>
          </w:p>
        </w:tc>
        <w:tc>
          <w:tcPr>
            <w:tcW w:w="7128" w:type="dxa"/>
            <w:shd w:val="clear" w:color="auto" w:fill="auto"/>
          </w:tcPr>
          <w:p w14:paraId="1E40FA99" w14:textId="52BB4E14" w:rsidR="00062615" w:rsidRPr="00A84093" w:rsidRDefault="00FD6014" w:rsidP="00062615">
            <w:r>
              <w:t>Catch up Day or subsequent content TBA</w:t>
            </w:r>
          </w:p>
        </w:tc>
      </w:tr>
      <w:tr w:rsidR="00062615" w14:paraId="424849AD" w14:textId="77777777" w:rsidTr="00062615">
        <w:tc>
          <w:tcPr>
            <w:tcW w:w="1728" w:type="dxa"/>
            <w:shd w:val="clear" w:color="auto" w:fill="auto"/>
          </w:tcPr>
          <w:p w14:paraId="054B20C6" w14:textId="77777777" w:rsidR="00062615" w:rsidRDefault="00062615" w:rsidP="00062615"/>
        </w:tc>
        <w:tc>
          <w:tcPr>
            <w:tcW w:w="7128" w:type="dxa"/>
            <w:shd w:val="clear" w:color="auto" w:fill="auto"/>
          </w:tcPr>
          <w:p w14:paraId="2E34FFDB" w14:textId="77777777" w:rsidR="00062615" w:rsidRDefault="00062615" w:rsidP="00062615"/>
        </w:tc>
      </w:tr>
      <w:tr w:rsidR="00062615" w14:paraId="431259BA" w14:textId="77777777" w:rsidTr="00062615">
        <w:tc>
          <w:tcPr>
            <w:tcW w:w="1728" w:type="dxa"/>
            <w:shd w:val="clear" w:color="auto" w:fill="auto"/>
          </w:tcPr>
          <w:p w14:paraId="6A3F58DF" w14:textId="356D1F36" w:rsidR="00062615" w:rsidRPr="003236A4" w:rsidRDefault="00B575B2" w:rsidP="00062615">
            <w:pPr>
              <w:rPr>
                <w:highlight w:val="cyan"/>
              </w:rPr>
            </w:pPr>
            <w:r>
              <w:rPr>
                <w:highlight w:val="cyan"/>
              </w:rPr>
              <w:t>5/10</w:t>
            </w:r>
          </w:p>
          <w:p w14:paraId="1B4159DA" w14:textId="77777777" w:rsidR="00062615" w:rsidRPr="003236A4" w:rsidRDefault="00062615" w:rsidP="00062615">
            <w:pPr>
              <w:rPr>
                <w:highlight w:val="cyan"/>
              </w:rPr>
            </w:pPr>
          </w:p>
        </w:tc>
        <w:tc>
          <w:tcPr>
            <w:tcW w:w="7128" w:type="dxa"/>
            <w:shd w:val="clear" w:color="auto" w:fill="auto"/>
          </w:tcPr>
          <w:p w14:paraId="3520B6D2" w14:textId="77777777" w:rsidR="00062615" w:rsidRPr="003236A4" w:rsidRDefault="00062615" w:rsidP="00062615">
            <w:pPr>
              <w:rPr>
                <w:highlight w:val="cyan"/>
              </w:rPr>
            </w:pPr>
            <w:r w:rsidRPr="003236A4">
              <w:rPr>
                <w:highlight w:val="cyan"/>
              </w:rPr>
              <w:t>****Final Exam 2-4:30 pm***</w:t>
            </w:r>
          </w:p>
        </w:tc>
      </w:tr>
    </w:tbl>
    <w:p w14:paraId="6271F958" w14:textId="77777777" w:rsidR="006527B3" w:rsidRDefault="006527B3" w:rsidP="006527B3">
      <w:pPr>
        <w:rPr>
          <w:rFonts w:asciiTheme="minorHAnsi" w:hAnsiTheme="minorHAnsi"/>
        </w:rPr>
      </w:pPr>
    </w:p>
    <w:p w14:paraId="49779283" w14:textId="77777777" w:rsidR="006527B3" w:rsidRPr="0020685B" w:rsidRDefault="006527B3" w:rsidP="006527B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3208FA54" w14:textId="77777777" w:rsidR="00062615" w:rsidRDefault="00062615" w:rsidP="00062615"/>
    <w:p w14:paraId="0B3C9ADD" w14:textId="77777777" w:rsidR="006527B3" w:rsidRDefault="006527B3" w:rsidP="00062615"/>
    <w:p w14:paraId="2F0DB9A6" w14:textId="77777777" w:rsidR="006527B3" w:rsidRDefault="006527B3" w:rsidP="00062615">
      <w:bookmarkStart w:id="0" w:name="_GoBack"/>
      <w:bookmarkEnd w:id="0"/>
    </w:p>
    <w:sectPr w:rsidR="006527B3">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C20E" w14:textId="77777777" w:rsidR="00D577B6" w:rsidRDefault="00D577B6">
      <w:r>
        <w:separator/>
      </w:r>
    </w:p>
  </w:endnote>
  <w:endnote w:type="continuationSeparator" w:id="0">
    <w:p w14:paraId="791EA684" w14:textId="77777777" w:rsidR="00D577B6" w:rsidRDefault="00D5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C5DE" w14:textId="77777777" w:rsidR="00D577B6" w:rsidRDefault="00D577B6" w:rsidP="00062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2C84A" w14:textId="77777777" w:rsidR="00D577B6" w:rsidRDefault="00D577B6" w:rsidP="000626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D88D5" w14:textId="77777777" w:rsidR="00D577B6" w:rsidRDefault="00D577B6" w:rsidP="00062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3DA">
      <w:rPr>
        <w:rStyle w:val="PageNumber"/>
        <w:noProof/>
      </w:rPr>
      <w:t>6</w:t>
    </w:r>
    <w:r>
      <w:rPr>
        <w:rStyle w:val="PageNumber"/>
      </w:rPr>
      <w:fldChar w:fldCharType="end"/>
    </w:r>
  </w:p>
  <w:p w14:paraId="78A70427" w14:textId="77777777" w:rsidR="00D577B6" w:rsidRDefault="00D577B6" w:rsidP="000626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47EE9" w14:textId="77777777" w:rsidR="00D577B6" w:rsidRDefault="00D577B6">
      <w:r>
        <w:separator/>
      </w:r>
    </w:p>
  </w:footnote>
  <w:footnote w:type="continuationSeparator" w:id="0">
    <w:p w14:paraId="70A762A4" w14:textId="77777777" w:rsidR="00D577B6" w:rsidRDefault="00D577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1800" w:hanging="360"/>
      </w:pPr>
    </w:lvl>
  </w:abstractNum>
  <w:abstractNum w:abstractNumId="1">
    <w:nsid w:val="098C73DC"/>
    <w:multiLevelType w:val="hybridMultilevel"/>
    <w:tmpl w:val="30E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133D7"/>
    <w:multiLevelType w:val="hybridMultilevel"/>
    <w:tmpl w:val="D04A3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37367"/>
    <w:multiLevelType w:val="hybridMultilevel"/>
    <w:tmpl w:val="2D8A82EE"/>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4">
    <w:nsid w:val="6A411F79"/>
    <w:multiLevelType w:val="hybridMultilevel"/>
    <w:tmpl w:val="7F3C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15"/>
    <w:rsid w:val="00004B07"/>
    <w:rsid w:val="00012250"/>
    <w:rsid w:val="00041A99"/>
    <w:rsid w:val="00050571"/>
    <w:rsid w:val="000511FD"/>
    <w:rsid w:val="00062615"/>
    <w:rsid w:val="00064AE5"/>
    <w:rsid w:val="000844B4"/>
    <w:rsid w:val="00087883"/>
    <w:rsid w:val="000C1974"/>
    <w:rsid w:val="000C51EF"/>
    <w:rsid w:val="000D4587"/>
    <w:rsid w:val="000E5C29"/>
    <w:rsid w:val="00100A5F"/>
    <w:rsid w:val="00110254"/>
    <w:rsid w:val="00161A34"/>
    <w:rsid w:val="001A37DB"/>
    <w:rsid w:val="001A3F48"/>
    <w:rsid w:val="001C5089"/>
    <w:rsid w:val="001E4EB8"/>
    <w:rsid w:val="00277119"/>
    <w:rsid w:val="002849A3"/>
    <w:rsid w:val="002B6A2F"/>
    <w:rsid w:val="003233BC"/>
    <w:rsid w:val="003364AD"/>
    <w:rsid w:val="003454CA"/>
    <w:rsid w:val="003B7F89"/>
    <w:rsid w:val="003C1ED6"/>
    <w:rsid w:val="003C562E"/>
    <w:rsid w:val="003D4014"/>
    <w:rsid w:val="004338FF"/>
    <w:rsid w:val="0046245C"/>
    <w:rsid w:val="004A387E"/>
    <w:rsid w:val="0058553E"/>
    <w:rsid w:val="005A13BD"/>
    <w:rsid w:val="006003AB"/>
    <w:rsid w:val="0061689D"/>
    <w:rsid w:val="006323C8"/>
    <w:rsid w:val="006344B4"/>
    <w:rsid w:val="00642001"/>
    <w:rsid w:val="006527B3"/>
    <w:rsid w:val="00667D0B"/>
    <w:rsid w:val="00670361"/>
    <w:rsid w:val="00682AAF"/>
    <w:rsid w:val="0068318B"/>
    <w:rsid w:val="0069610B"/>
    <w:rsid w:val="006A0F1E"/>
    <w:rsid w:val="006D6C7E"/>
    <w:rsid w:val="006E4F5C"/>
    <w:rsid w:val="00756F74"/>
    <w:rsid w:val="0078063F"/>
    <w:rsid w:val="007D4FAA"/>
    <w:rsid w:val="00813EAF"/>
    <w:rsid w:val="00860177"/>
    <w:rsid w:val="00866C62"/>
    <w:rsid w:val="008D16E1"/>
    <w:rsid w:val="008E7E16"/>
    <w:rsid w:val="00966660"/>
    <w:rsid w:val="00980390"/>
    <w:rsid w:val="00985893"/>
    <w:rsid w:val="009B3536"/>
    <w:rsid w:val="009C2A36"/>
    <w:rsid w:val="009D4817"/>
    <w:rsid w:val="009E3FF7"/>
    <w:rsid w:val="009E4BC0"/>
    <w:rsid w:val="009F1176"/>
    <w:rsid w:val="00A11648"/>
    <w:rsid w:val="00A15D72"/>
    <w:rsid w:val="00A31489"/>
    <w:rsid w:val="00A36123"/>
    <w:rsid w:val="00AA34CD"/>
    <w:rsid w:val="00AB4A43"/>
    <w:rsid w:val="00AB6623"/>
    <w:rsid w:val="00AB6CE7"/>
    <w:rsid w:val="00B02307"/>
    <w:rsid w:val="00B1728E"/>
    <w:rsid w:val="00B202BE"/>
    <w:rsid w:val="00B23C5D"/>
    <w:rsid w:val="00B551F0"/>
    <w:rsid w:val="00B575B2"/>
    <w:rsid w:val="00BA1F69"/>
    <w:rsid w:val="00C02A50"/>
    <w:rsid w:val="00C547BA"/>
    <w:rsid w:val="00C727C7"/>
    <w:rsid w:val="00C9771E"/>
    <w:rsid w:val="00CF5891"/>
    <w:rsid w:val="00D53969"/>
    <w:rsid w:val="00D577B6"/>
    <w:rsid w:val="00D6163F"/>
    <w:rsid w:val="00D77C96"/>
    <w:rsid w:val="00D82D1A"/>
    <w:rsid w:val="00DD68BB"/>
    <w:rsid w:val="00E23717"/>
    <w:rsid w:val="00E33517"/>
    <w:rsid w:val="00E93E87"/>
    <w:rsid w:val="00EA1C86"/>
    <w:rsid w:val="00EB53DA"/>
    <w:rsid w:val="00EC7FEC"/>
    <w:rsid w:val="00EE7FA3"/>
    <w:rsid w:val="00F41600"/>
    <w:rsid w:val="00F74CA2"/>
    <w:rsid w:val="00F94FAE"/>
    <w:rsid w:val="00FA6998"/>
    <w:rsid w:val="00FC5159"/>
    <w:rsid w:val="00FD6014"/>
    <w:rsid w:val="00FF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18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615"/>
    <w:rPr>
      <w:color w:val="0000FF"/>
      <w:u w:val="single"/>
    </w:rPr>
  </w:style>
  <w:style w:type="paragraph" w:styleId="Footer">
    <w:name w:val="footer"/>
    <w:basedOn w:val="Normal"/>
    <w:link w:val="FooterChar"/>
    <w:rsid w:val="00062615"/>
    <w:pPr>
      <w:tabs>
        <w:tab w:val="center" w:pos="4320"/>
        <w:tab w:val="right" w:pos="8640"/>
      </w:tabs>
    </w:pPr>
  </w:style>
  <w:style w:type="character" w:customStyle="1" w:styleId="FooterChar">
    <w:name w:val="Footer Char"/>
    <w:basedOn w:val="DefaultParagraphFont"/>
    <w:link w:val="Footer"/>
    <w:rsid w:val="00062615"/>
    <w:rPr>
      <w:rFonts w:ascii="Times New Roman" w:eastAsia="Times New Roman" w:hAnsi="Times New Roman" w:cs="Times New Roman"/>
    </w:rPr>
  </w:style>
  <w:style w:type="character" w:styleId="PageNumber">
    <w:name w:val="page number"/>
    <w:basedOn w:val="DefaultParagraphFont"/>
    <w:rsid w:val="00062615"/>
  </w:style>
  <w:style w:type="paragraph" w:styleId="ListParagraph">
    <w:name w:val="List Paragraph"/>
    <w:basedOn w:val="Normal"/>
    <w:uiPriority w:val="34"/>
    <w:qFormat/>
    <w:rsid w:val="00064AE5"/>
    <w:pPr>
      <w:ind w:left="720"/>
      <w:contextualSpacing/>
    </w:pPr>
  </w:style>
  <w:style w:type="character" w:styleId="FollowedHyperlink">
    <w:name w:val="FollowedHyperlink"/>
    <w:basedOn w:val="DefaultParagraphFont"/>
    <w:uiPriority w:val="99"/>
    <w:semiHidden/>
    <w:unhideWhenUsed/>
    <w:rsid w:val="004624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615"/>
    <w:rPr>
      <w:color w:val="0000FF"/>
      <w:u w:val="single"/>
    </w:rPr>
  </w:style>
  <w:style w:type="paragraph" w:styleId="Footer">
    <w:name w:val="footer"/>
    <w:basedOn w:val="Normal"/>
    <w:link w:val="FooterChar"/>
    <w:rsid w:val="00062615"/>
    <w:pPr>
      <w:tabs>
        <w:tab w:val="center" w:pos="4320"/>
        <w:tab w:val="right" w:pos="8640"/>
      </w:tabs>
    </w:pPr>
  </w:style>
  <w:style w:type="character" w:customStyle="1" w:styleId="FooterChar">
    <w:name w:val="Footer Char"/>
    <w:basedOn w:val="DefaultParagraphFont"/>
    <w:link w:val="Footer"/>
    <w:rsid w:val="00062615"/>
    <w:rPr>
      <w:rFonts w:ascii="Times New Roman" w:eastAsia="Times New Roman" w:hAnsi="Times New Roman" w:cs="Times New Roman"/>
    </w:rPr>
  </w:style>
  <w:style w:type="character" w:styleId="PageNumber">
    <w:name w:val="page number"/>
    <w:basedOn w:val="DefaultParagraphFont"/>
    <w:rsid w:val="00062615"/>
  </w:style>
  <w:style w:type="paragraph" w:styleId="ListParagraph">
    <w:name w:val="List Paragraph"/>
    <w:basedOn w:val="Normal"/>
    <w:uiPriority w:val="34"/>
    <w:qFormat/>
    <w:rsid w:val="00064AE5"/>
    <w:pPr>
      <w:ind w:left="720"/>
      <w:contextualSpacing/>
    </w:pPr>
  </w:style>
  <w:style w:type="character" w:styleId="FollowedHyperlink">
    <w:name w:val="FollowedHyperlink"/>
    <w:basedOn w:val="DefaultParagraphFont"/>
    <w:uiPriority w:val="99"/>
    <w:semiHidden/>
    <w:unhideWhenUsed/>
    <w:rsid w:val="00462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hyperlink" Target="https://rancom.wordpress.com/2012/06/05/hierarchy/" TargetMode="External"/><Relationship Id="rId13" Type="http://schemas.openxmlformats.org/officeDocument/2006/relationships/hyperlink" Target="https://globalstudies.trinity.duke.edu/wp-content/themes/cgsh/materials/WKO/v2d2_Lugones.pdf" TargetMode="External"/><Relationship Id="rId14" Type="http://schemas.openxmlformats.org/officeDocument/2006/relationships/hyperlink" Target="http://www.mamsie.org/wp-content/librarypapers/Baraitser,+L+%282006%29.+Oi+Mother,.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sources@uta.edu" TargetMode="External"/><Relationship Id="rId9" Type="http://schemas.openxmlformats.org/officeDocument/2006/relationships/hyperlink" Target="http://www.uta.edu/resources" TargetMode="External"/><Relationship Id="rId1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10107</Characters>
  <Application>Microsoft Macintosh Word</Application>
  <DocSecurity>0</DocSecurity>
  <Lines>84</Lines>
  <Paragraphs>23</Paragraphs>
  <ScaleCrop>false</ScaleCrop>
  <Company>UT Arlington</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Ingram</dc:creator>
  <cp:keywords/>
  <dc:description/>
  <cp:lastModifiedBy>Penelope Ingram</cp:lastModifiedBy>
  <cp:revision>2</cp:revision>
  <dcterms:created xsi:type="dcterms:W3CDTF">2016-01-11T19:30:00Z</dcterms:created>
  <dcterms:modified xsi:type="dcterms:W3CDTF">2016-01-11T19:30:00Z</dcterms:modified>
</cp:coreProperties>
</file>