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A470D9" w:rsidP="00BB2BF2">
      <w:pPr>
        <w:jc w:val="center"/>
        <w:rPr>
          <w:rFonts w:ascii="Arial" w:hAnsi="Arial" w:cs="Arial"/>
          <w:sz w:val="24"/>
          <w:szCs w:val="24"/>
        </w:rPr>
      </w:pPr>
      <w:r>
        <w:rPr>
          <w:rFonts w:ascii="Arial" w:hAnsi="Arial" w:cs="Arial"/>
          <w:sz w:val="24"/>
          <w:szCs w:val="24"/>
        </w:rPr>
        <w:t>FALL</w:t>
      </w:r>
      <w:r w:rsidR="006B1363">
        <w:rPr>
          <w:rFonts w:ascii="Arial" w:hAnsi="Arial" w:cs="Arial"/>
          <w:sz w:val="24"/>
          <w:szCs w:val="24"/>
        </w:rPr>
        <w:t xml:space="preserve"> 201</w:t>
      </w:r>
      <w:r w:rsidR="00A1780D">
        <w:rPr>
          <w:rFonts w:ascii="Arial" w:hAnsi="Arial" w:cs="Arial"/>
          <w:sz w:val="24"/>
          <w:szCs w:val="24"/>
        </w:rPr>
        <w:t>7</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 xml:space="preserve">Pickard Hall Room </w:t>
      </w:r>
      <w:r w:rsidR="00E91E3F">
        <w:rPr>
          <w:rFonts w:ascii="Arial" w:hAnsi="Arial" w:cs="Arial"/>
          <w:sz w:val="24"/>
          <w:szCs w:val="24"/>
        </w:rPr>
        <w:t>6</w:t>
      </w:r>
      <w:r w:rsidR="00BD7A86" w:rsidRPr="00521B56">
        <w:rPr>
          <w:rFonts w:ascii="Arial" w:hAnsi="Arial" w:cs="Arial"/>
          <w:sz w:val="24"/>
          <w:szCs w:val="24"/>
        </w:rPr>
        <w:t>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7E3839" w:rsidRDefault="00BB2BF2" w:rsidP="00BB2BF2">
      <w:pPr>
        <w:rPr>
          <w:rFonts w:ascii="Arial" w:hAnsi="Arial" w:cs="Arial"/>
          <w:b/>
          <w:sz w:val="24"/>
          <w:szCs w:val="24"/>
        </w:rPr>
      </w:pPr>
      <w:r w:rsidRPr="00521B56">
        <w:rPr>
          <w:rFonts w:ascii="Arial" w:hAnsi="Arial" w:cs="Arial"/>
          <w:b/>
          <w:sz w:val="24"/>
          <w:szCs w:val="24"/>
        </w:rPr>
        <w:t xml:space="preserve">Time and Place of Class Meetings: </w:t>
      </w:r>
    </w:p>
    <w:p w:rsidR="00D42AAB" w:rsidRDefault="00E30078" w:rsidP="00BB2BF2">
      <w:pPr>
        <w:rPr>
          <w:rFonts w:ascii="Arial" w:hAnsi="Arial" w:cs="Arial"/>
          <w:b/>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AF228E">
        <w:rPr>
          <w:rFonts w:ascii="Arial" w:hAnsi="Arial" w:cs="Arial"/>
          <w:sz w:val="24"/>
          <w:szCs w:val="24"/>
        </w:rPr>
        <w:t>04</w:t>
      </w:r>
      <w:r w:rsidR="002F0494">
        <w:rPr>
          <w:rFonts w:ascii="Arial" w:hAnsi="Arial" w:cs="Arial"/>
          <w:sz w:val="24"/>
          <w:szCs w:val="24"/>
        </w:rPr>
        <w:t xml:space="preserve">, Tuesday </w:t>
      </w:r>
      <w:r w:rsidR="006B1363">
        <w:rPr>
          <w:rFonts w:ascii="Arial" w:hAnsi="Arial" w:cs="Arial"/>
          <w:sz w:val="24"/>
          <w:szCs w:val="24"/>
        </w:rPr>
        <w:t>8-11:50AM</w:t>
      </w:r>
    </w:p>
    <w:p w:rsidR="00EC1E56" w:rsidRDefault="00E30078" w:rsidP="00BB2BF2">
      <w:pPr>
        <w:rPr>
          <w:rFonts w:ascii="Arial" w:hAnsi="Arial" w:cs="Arial"/>
          <w:sz w:val="24"/>
          <w:szCs w:val="24"/>
        </w:rPr>
      </w:pPr>
      <w:r>
        <w:rPr>
          <w:rFonts w:ascii="Arial" w:hAnsi="Arial" w:cs="Arial"/>
          <w:b/>
          <w:sz w:val="24"/>
          <w:szCs w:val="24"/>
        </w:rPr>
        <w:t>Section 002-</w:t>
      </w:r>
      <w:r>
        <w:rPr>
          <w:rFonts w:ascii="Arial" w:hAnsi="Arial" w:cs="Arial"/>
          <w:sz w:val="24"/>
          <w:szCs w:val="24"/>
        </w:rPr>
        <w:t>Pickard Hall 2</w:t>
      </w:r>
      <w:r w:rsidR="00AF228E">
        <w:rPr>
          <w:rFonts w:ascii="Arial" w:hAnsi="Arial" w:cs="Arial"/>
          <w:sz w:val="24"/>
          <w:szCs w:val="24"/>
        </w:rPr>
        <w:t>04</w:t>
      </w:r>
      <w:r>
        <w:rPr>
          <w:rFonts w:ascii="Arial" w:hAnsi="Arial" w:cs="Arial"/>
          <w:sz w:val="24"/>
          <w:szCs w:val="24"/>
        </w:rPr>
        <w:t xml:space="preserve">, Tuesday </w:t>
      </w:r>
      <w:r w:rsidR="006B1363">
        <w:rPr>
          <w:rFonts w:ascii="Arial" w:hAnsi="Arial" w:cs="Arial"/>
          <w:sz w:val="24"/>
          <w:szCs w:val="24"/>
        </w:rPr>
        <w:t>1-4:50PM</w:t>
      </w:r>
    </w:p>
    <w:p w:rsidR="007E3839" w:rsidRDefault="007E3839" w:rsidP="00BB2BF2">
      <w:pPr>
        <w:rPr>
          <w:rFonts w:ascii="Arial" w:hAnsi="Arial" w:cs="Arial"/>
          <w:b/>
          <w:sz w:val="24"/>
          <w:szCs w:val="24"/>
        </w:rPr>
      </w:pP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BB2BF2">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BB2BF2">
      <w:pPr>
        <w:rPr>
          <w:rFonts w:ascii="Arial" w:hAnsi="Arial" w:cs="Arial"/>
          <w:sz w:val="24"/>
          <w:szCs w:val="24"/>
        </w:rPr>
      </w:pPr>
      <w:r w:rsidRPr="00521B56">
        <w:rPr>
          <w:rFonts w:ascii="Arial" w:hAnsi="Arial" w:cs="Arial"/>
          <w:sz w:val="24"/>
          <w:szCs w:val="24"/>
        </w:rPr>
        <w:t xml:space="preserve">Selected concepts and issues related to aging and its impact on society and health care. </w:t>
      </w:r>
      <w:proofErr w:type="gramStart"/>
      <w:r w:rsidRPr="00521B56">
        <w:rPr>
          <w:rFonts w:ascii="Arial" w:hAnsi="Arial" w:cs="Arial"/>
          <w:sz w:val="24"/>
          <w:szCs w:val="24"/>
        </w:rPr>
        <w:t>Introduction</w:t>
      </w:r>
      <w:r w:rsidR="00AA534F">
        <w:rPr>
          <w:rFonts w:ascii="Arial" w:hAnsi="Arial" w:cs="Arial"/>
          <w:sz w:val="24"/>
          <w:szCs w:val="24"/>
        </w:rPr>
        <w:t xml:space="preserve"> </w:t>
      </w:r>
      <w:r w:rsidRPr="00521B56">
        <w:rPr>
          <w:rFonts w:ascii="Arial" w:hAnsi="Arial" w:cs="Arial"/>
          <w:sz w:val="24"/>
          <w:szCs w:val="24"/>
        </w:rPr>
        <w:t xml:space="preserve"> to</w:t>
      </w:r>
      <w:proofErr w:type="gramEnd"/>
      <w:r w:rsidRPr="00521B56">
        <w:rPr>
          <w:rFonts w:ascii="Arial" w:hAnsi="Arial" w:cs="Arial"/>
          <w:sz w:val="24"/>
          <w:szCs w:val="24"/>
        </w:rPr>
        <w:t xml:space="preserve"> gerontologic nursing principles. </w:t>
      </w:r>
      <w:proofErr w:type="gramStart"/>
      <w:r w:rsidRPr="00521B56">
        <w:rPr>
          <w:rFonts w:ascii="Arial" w:hAnsi="Arial" w:cs="Arial"/>
          <w:sz w:val="24"/>
          <w:szCs w:val="24"/>
        </w:rPr>
        <w:t xml:space="preserve">Clinical </w:t>
      </w:r>
      <w:r w:rsidR="00AA534F">
        <w:rPr>
          <w:rFonts w:ascii="Arial" w:hAnsi="Arial" w:cs="Arial"/>
          <w:sz w:val="24"/>
          <w:szCs w:val="24"/>
        </w:rPr>
        <w:t xml:space="preserve"> </w:t>
      </w:r>
      <w:r w:rsidRPr="00521B56">
        <w:rPr>
          <w:rFonts w:ascii="Arial" w:hAnsi="Arial" w:cs="Arial"/>
          <w:sz w:val="24"/>
          <w:szCs w:val="24"/>
        </w:rPr>
        <w:t>application</w:t>
      </w:r>
      <w:proofErr w:type="gramEnd"/>
      <w:r w:rsidRPr="00521B56">
        <w:rPr>
          <w:rFonts w:ascii="Arial" w:hAnsi="Arial" w:cs="Arial"/>
          <w:sz w:val="24"/>
          <w:szCs w:val="24"/>
        </w:rPr>
        <w:t xml:space="preserve">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Identify actual or potential mistreatment (physical, mental, or financial abuse, and/or self neglect)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Facilitate ethical, no-coercive decision making by older adults and /or families/caregivers for maintaining everyday living, receiving treatment, initiating advance directives and </w:t>
            </w:r>
            <w:r w:rsidRPr="0010031F">
              <w:rPr>
                <w:rFonts w:ascii="Arial" w:eastAsia="Times New Roman" w:hAnsi="Arial" w:cs="Arial"/>
                <w:color w:val="000000"/>
                <w:sz w:val="24"/>
                <w:szCs w:val="24"/>
                <w:lang w:eastAsia="en-US"/>
              </w:rPr>
              <w:lastRenderedPageBreak/>
              <w:t>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w:t>
            </w:r>
            <w:proofErr w:type="spellStart"/>
            <w:r w:rsidRPr="0010031F">
              <w:rPr>
                <w:rFonts w:ascii="Arial" w:eastAsia="Times New Roman" w:hAnsi="Arial" w:cs="Arial"/>
                <w:color w:val="000000"/>
                <w:sz w:val="24"/>
                <w:szCs w:val="24"/>
                <w:lang w:eastAsia="en-US"/>
              </w:rPr>
              <w:t>eg</w:t>
            </w:r>
            <w:proofErr w:type="spellEnd"/>
            <w:r w:rsidRPr="0010031F">
              <w:rPr>
                <w:rFonts w:ascii="Arial" w:eastAsia="Times New Roman" w:hAnsi="Arial" w:cs="Arial"/>
                <w:color w:val="000000"/>
                <w:sz w:val="24"/>
                <w:szCs w:val="24"/>
                <w:lang w:eastAsia="en-US"/>
              </w:rPr>
              <w:t>.,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 xml:space="preserve">class demonstrations, video, </w:t>
            </w:r>
          </w:p>
          <w:p w:rsidR="00B24A67" w:rsidRDefault="00B24A67" w:rsidP="00BB2BF2">
            <w:pPr>
              <w:rPr>
                <w:rFonts w:ascii="Arial" w:hAnsi="Arial" w:cs="Arial"/>
                <w:b/>
                <w:sz w:val="24"/>
                <w:szCs w:val="24"/>
              </w:rPr>
            </w:pPr>
            <w:r>
              <w:rPr>
                <w:rFonts w:ascii="Arial" w:hAnsi="Arial" w:cs="Arial"/>
                <w:b/>
                <w:sz w:val="24"/>
                <w:szCs w:val="24"/>
              </w:rPr>
              <w:t>Exam</w:t>
            </w:r>
            <w:r w:rsidR="00E91E3F">
              <w:rPr>
                <w:rFonts w:ascii="Arial" w:hAnsi="Arial" w:cs="Arial"/>
                <w:b/>
                <w:sz w:val="24"/>
                <w:szCs w:val="24"/>
              </w:rPr>
              <w:t>, Immobility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547B0D" w:rsidRPr="00521B56" w:rsidRDefault="00547B0D" w:rsidP="00BB2BF2">
      <w:pPr>
        <w:rPr>
          <w:rFonts w:ascii="Arial" w:hAnsi="Arial" w:cs="Arial"/>
          <w:b/>
          <w:sz w:val="24"/>
          <w:szCs w:val="24"/>
        </w:rPr>
      </w:pPr>
    </w:p>
    <w:p w:rsidR="00113398" w:rsidRPr="00521B56" w:rsidRDefault="00113398" w:rsidP="00BB2BF2">
      <w:pPr>
        <w:rPr>
          <w:rFonts w:ascii="Arial" w:hAnsi="Arial" w:cs="Arial"/>
          <w:b/>
          <w:sz w:val="24"/>
          <w:szCs w:val="24"/>
        </w:rPr>
      </w:pPr>
    </w:p>
    <w:p w:rsidR="00A1780D" w:rsidRDefault="00BB2BF2" w:rsidP="00BB2BF2">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w:t>
      </w:r>
    </w:p>
    <w:p w:rsidR="00A1780D" w:rsidRDefault="00A1780D" w:rsidP="00BB2BF2">
      <w:pPr>
        <w:rPr>
          <w:rFonts w:ascii="Arial" w:hAnsi="Arial" w:cs="Arial"/>
          <w:b/>
          <w:sz w:val="24"/>
          <w:szCs w:val="24"/>
        </w:rPr>
      </w:pPr>
    </w:p>
    <w:p w:rsidR="00A1780D" w:rsidRDefault="00A1780D" w:rsidP="00BB2BF2">
      <w:pPr>
        <w:rPr>
          <w:rStyle w:val="apple-converted-space"/>
          <w:rFonts w:ascii="Arial" w:hAnsi="Arial" w:cs="Arial"/>
          <w:b/>
          <w:bCs/>
          <w:color w:val="111111"/>
          <w:sz w:val="20"/>
          <w:szCs w:val="20"/>
          <w:bdr w:val="none" w:sz="0" w:space="0" w:color="auto" w:frame="1"/>
          <w:shd w:val="clear" w:color="auto" w:fill="F4F4F4"/>
        </w:rPr>
      </w:pPr>
      <w:r>
        <w:rPr>
          <w:rStyle w:val="Strong"/>
          <w:rFonts w:ascii="Arial" w:hAnsi="Arial" w:cs="Arial"/>
          <w:color w:val="111111"/>
          <w:sz w:val="20"/>
          <w:szCs w:val="20"/>
          <w:bdr w:val="none" w:sz="0" w:space="0" w:color="auto" w:frame="1"/>
          <w:shd w:val="clear" w:color="auto" w:fill="F4F4F4"/>
        </w:rPr>
        <w:t>Hinkle and Cheever:</w:t>
      </w:r>
      <w:r>
        <w:rPr>
          <w:rStyle w:val="apple-converted-space"/>
          <w:rFonts w:ascii="Arial" w:hAnsi="Arial" w:cs="Arial"/>
          <w:b/>
          <w:bCs/>
          <w:color w:val="111111"/>
          <w:sz w:val="20"/>
          <w:szCs w:val="20"/>
          <w:bdr w:val="none" w:sz="0" w:space="0" w:color="auto" w:frame="1"/>
          <w:shd w:val="clear" w:color="auto" w:fill="F4F4F4"/>
        </w:rPr>
        <w:t> </w:t>
      </w:r>
      <w:r>
        <w:rPr>
          <w:rStyle w:val="Strong"/>
          <w:rFonts w:ascii="inherit" w:hAnsi="inherit" w:cs="Arial"/>
          <w:color w:val="111111"/>
          <w:sz w:val="20"/>
          <w:szCs w:val="20"/>
          <w:bdr w:val="none" w:sz="0" w:space="0" w:color="auto" w:frame="1"/>
          <w:shd w:val="clear" w:color="auto" w:fill="F4F4F4"/>
        </w:rPr>
        <w:t>Brunner</w:t>
      </w:r>
      <w:r>
        <w:rPr>
          <w:rStyle w:val="apple-converted-space"/>
          <w:rFonts w:ascii="Arial" w:hAnsi="Arial" w:cs="Arial"/>
          <w:b/>
          <w:bCs/>
          <w:color w:val="111111"/>
          <w:sz w:val="20"/>
          <w:szCs w:val="20"/>
          <w:bdr w:val="none" w:sz="0" w:space="0" w:color="auto" w:frame="1"/>
          <w:shd w:val="clear" w:color="auto" w:fill="F4F4F4"/>
        </w:rPr>
        <w:t> </w:t>
      </w:r>
      <w:r>
        <w:rPr>
          <w:rStyle w:val="Strong"/>
          <w:rFonts w:ascii="Arial" w:hAnsi="Arial" w:cs="Arial"/>
          <w:color w:val="111111"/>
          <w:sz w:val="20"/>
          <w:szCs w:val="20"/>
          <w:bdr w:val="none" w:sz="0" w:space="0" w:color="auto" w:frame="1"/>
          <w:shd w:val="clear" w:color="auto" w:fill="F4F4F4"/>
        </w:rPr>
        <w:t>and</w:t>
      </w:r>
      <w:r>
        <w:rPr>
          <w:rStyle w:val="apple-converted-space"/>
          <w:rFonts w:ascii="Arial" w:hAnsi="Arial" w:cs="Arial"/>
          <w:b/>
          <w:bCs/>
          <w:color w:val="111111"/>
          <w:sz w:val="20"/>
          <w:szCs w:val="20"/>
          <w:bdr w:val="none" w:sz="0" w:space="0" w:color="auto" w:frame="1"/>
          <w:shd w:val="clear" w:color="auto" w:fill="F4F4F4"/>
        </w:rPr>
        <w:t> </w:t>
      </w:r>
      <w:proofErr w:type="spellStart"/>
      <w:r>
        <w:rPr>
          <w:rStyle w:val="Strong"/>
          <w:rFonts w:ascii="inherit" w:hAnsi="inherit" w:cs="Arial"/>
          <w:color w:val="111111"/>
          <w:sz w:val="20"/>
          <w:szCs w:val="20"/>
          <w:bdr w:val="none" w:sz="0" w:space="0" w:color="auto" w:frame="1"/>
          <w:shd w:val="clear" w:color="auto" w:fill="F4F4F4"/>
        </w:rPr>
        <w:t>Suddarths</w:t>
      </w:r>
      <w:proofErr w:type="spellEnd"/>
      <w:r>
        <w:rPr>
          <w:rStyle w:val="Strong"/>
          <w:rFonts w:ascii="Arial" w:hAnsi="Arial" w:cs="Arial"/>
          <w:color w:val="111111"/>
          <w:sz w:val="20"/>
          <w:szCs w:val="20"/>
          <w:bdr w:val="none" w:sz="0" w:space="0" w:color="auto" w:frame="1"/>
          <w:shd w:val="clear" w:color="auto" w:fill="F4F4F4"/>
        </w:rPr>
        <w:t> Textbook of Medical Surgical Nursing. 13th Ed.</w:t>
      </w:r>
      <w:r>
        <w:rPr>
          <w:rStyle w:val="apple-converted-space"/>
          <w:rFonts w:ascii="Arial" w:hAnsi="Arial" w:cs="Arial"/>
          <w:b/>
          <w:bCs/>
          <w:color w:val="111111"/>
          <w:sz w:val="20"/>
          <w:szCs w:val="20"/>
          <w:bdr w:val="none" w:sz="0" w:space="0" w:color="auto" w:frame="1"/>
          <w:shd w:val="clear" w:color="auto" w:fill="F4F4F4"/>
        </w:rPr>
        <w:t> </w:t>
      </w:r>
      <w:r>
        <w:rPr>
          <w:rStyle w:val="apple-converted-space"/>
          <w:rFonts w:ascii="Arial" w:hAnsi="Arial" w:cs="Arial"/>
          <w:b/>
          <w:bCs/>
          <w:color w:val="111111"/>
          <w:sz w:val="20"/>
          <w:szCs w:val="20"/>
          <w:bdr w:val="none" w:sz="0" w:space="0" w:color="auto" w:frame="1"/>
          <w:shd w:val="clear" w:color="auto" w:fill="F4F4F4"/>
        </w:rPr>
        <w:t>– this is the textbook used in the Nursing of Adults course that is taken concurrently with Nursing of Older Adults. There will be some readings assigned from this textbook.</w:t>
      </w:r>
    </w:p>
    <w:p w:rsidR="00A1780D" w:rsidRDefault="00A1780D" w:rsidP="00BB2BF2">
      <w:pPr>
        <w:rPr>
          <w:rFonts w:ascii="Arial" w:hAnsi="Arial" w:cs="Arial"/>
          <w:b/>
          <w:sz w:val="24"/>
          <w:szCs w:val="24"/>
        </w:rPr>
      </w:pPr>
    </w:p>
    <w:p w:rsidR="00934FF9" w:rsidRDefault="007E3839" w:rsidP="00BB2BF2">
      <w:pPr>
        <w:rPr>
          <w:rFonts w:ascii="Arial" w:hAnsi="Arial" w:cs="Arial"/>
          <w:b/>
          <w:sz w:val="24"/>
          <w:szCs w:val="24"/>
        </w:rPr>
      </w:pPr>
      <w:r w:rsidRPr="006B1363">
        <w:rPr>
          <w:rFonts w:ascii="Arial" w:hAnsi="Arial" w:cs="Arial"/>
          <w:b/>
          <w:sz w:val="24"/>
          <w:szCs w:val="24"/>
          <w:u w:val="single"/>
        </w:rPr>
        <w:t>THERE IS NO REQUIRED TEXBOOK</w:t>
      </w:r>
      <w:r w:rsidR="00A1780D">
        <w:rPr>
          <w:rFonts w:ascii="Arial" w:hAnsi="Arial" w:cs="Arial"/>
          <w:b/>
          <w:sz w:val="24"/>
          <w:szCs w:val="24"/>
          <w:u w:val="single"/>
        </w:rPr>
        <w:t xml:space="preserve"> specifically for Nursing of Older Adults</w:t>
      </w:r>
    </w:p>
    <w:p w:rsidR="007E3839" w:rsidRDefault="007E3839" w:rsidP="00BB2BF2">
      <w:pPr>
        <w:rPr>
          <w:rFonts w:ascii="Arial" w:hAnsi="Arial" w:cs="Arial"/>
          <w:b/>
          <w:sz w:val="24"/>
          <w:szCs w:val="24"/>
        </w:rPr>
      </w:pPr>
    </w:p>
    <w:p w:rsidR="007E3839" w:rsidRPr="00521B56" w:rsidRDefault="007E3839" w:rsidP="00BB2BF2">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proofErr w:type="gramStart"/>
      <w:r>
        <w:rPr>
          <w:rFonts w:ascii="Arial" w:hAnsi="Arial" w:cs="Arial"/>
          <w:sz w:val="24"/>
          <w:szCs w:val="24"/>
        </w:rPr>
        <w:t>Touhy, T &amp; Jett, K. (2012</w:t>
      </w:r>
      <w:r w:rsidR="00934FF9" w:rsidRPr="00521B56">
        <w:rPr>
          <w:rFonts w:ascii="Arial" w:hAnsi="Arial" w:cs="Arial"/>
          <w:sz w:val="24"/>
          <w:szCs w:val="24"/>
        </w:rPr>
        <w:t>).</w:t>
      </w:r>
      <w:proofErr w:type="gramEnd"/>
      <w:r w:rsidR="00934FF9" w:rsidRPr="00521B56">
        <w:rPr>
          <w:rFonts w:ascii="Arial" w:hAnsi="Arial" w:cs="Arial"/>
          <w:sz w:val="24"/>
          <w:szCs w:val="24"/>
        </w:rPr>
        <w:t xml:space="preserve">  </w:t>
      </w:r>
      <w:proofErr w:type="spellStart"/>
      <w:proofErr w:type="gramStart"/>
      <w:r w:rsidR="00934FF9" w:rsidRPr="00521B56">
        <w:rPr>
          <w:rFonts w:ascii="Arial" w:hAnsi="Arial" w:cs="Arial"/>
          <w:i/>
          <w:sz w:val="24"/>
          <w:szCs w:val="24"/>
        </w:rPr>
        <w:t>Ebersole</w:t>
      </w:r>
      <w:proofErr w:type="spellEnd"/>
      <w:r w:rsidR="00934FF9" w:rsidRPr="00521B56">
        <w:rPr>
          <w:rFonts w:ascii="Arial" w:hAnsi="Arial" w:cs="Arial"/>
          <w:i/>
          <w:sz w:val="24"/>
          <w:szCs w:val="24"/>
        </w:rPr>
        <w:t xml:space="preserv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w:t>
      </w:r>
      <w:proofErr w:type="gramEnd"/>
      <w:r>
        <w:rPr>
          <w:rFonts w:ascii="Arial" w:hAnsi="Arial" w:cs="Arial"/>
          <w:sz w:val="24"/>
          <w:szCs w:val="24"/>
        </w:rPr>
        <w:t xml:space="preserve">  (8</w:t>
      </w:r>
      <w:r w:rsidRPr="00EC1E56">
        <w:rPr>
          <w:rFonts w:ascii="Arial" w:hAnsi="Arial" w:cs="Arial"/>
          <w:sz w:val="24"/>
          <w:szCs w:val="24"/>
          <w:vertAlign w:val="superscript"/>
        </w:rPr>
        <w:t>th</w:t>
      </w:r>
      <w:r>
        <w:rPr>
          <w:rFonts w:ascii="Arial" w:hAnsi="Arial" w:cs="Arial"/>
          <w:sz w:val="24"/>
          <w:szCs w:val="24"/>
        </w:rPr>
        <w:t xml:space="preserve"> </w:t>
      </w:r>
      <w:proofErr w:type="spellStart"/>
      <w:proofErr w:type="gramStart"/>
      <w:r w:rsidR="00934FF9" w:rsidRPr="00521B56">
        <w:rPr>
          <w:rFonts w:ascii="Arial" w:hAnsi="Arial" w:cs="Arial"/>
          <w:sz w:val="24"/>
          <w:szCs w:val="24"/>
        </w:rPr>
        <w:t>ed</w:t>
      </w:r>
      <w:proofErr w:type="spellEnd"/>
      <w:proofErr w:type="gramEnd"/>
      <w:r w:rsidR="00934FF9" w:rsidRPr="00521B56">
        <w:rPr>
          <w:rFonts w:ascii="Arial" w:hAnsi="Arial" w:cs="Arial"/>
          <w:sz w:val="24"/>
          <w:szCs w:val="24"/>
        </w:rPr>
        <w:t xml:space="preserve">). </w:t>
      </w:r>
      <w:proofErr w:type="gramStart"/>
      <w:r w:rsidR="00934FF9" w:rsidRPr="00521B56">
        <w:rPr>
          <w:rFonts w:ascii="Arial" w:hAnsi="Arial" w:cs="Arial"/>
          <w:sz w:val="24"/>
          <w:szCs w:val="24"/>
        </w:rPr>
        <w:t>Elsevier.</w:t>
      </w:r>
      <w:proofErr w:type="gramEnd"/>
      <w:r w:rsidR="00934FF9" w:rsidRPr="00521B56">
        <w:rPr>
          <w:rFonts w:ascii="Arial" w:hAnsi="Arial" w:cs="Arial"/>
          <w:sz w:val="24"/>
          <w:szCs w:val="24"/>
        </w:rPr>
        <w:t xml:space="preserve">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7E3839" w:rsidP="00934FF9">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p w:rsidR="00A1780D" w:rsidRDefault="00A1780D" w:rsidP="00BB2BF2">
      <w:pPr>
        <w:rPr>
          <w:rFonts w:ascii="Arial" w:hAnsi="Arial" w:cs="Arial"/>
          <w:sz w:val="24"/>
          <w:szCs w:val="24"/>
        </w:rPr>
      </w:pPr>
    </w:p>
    <w:p w:rsidR="00A1780D" w:rsidRDefault="00A1780D" w:rsidP="00BB2BF2">
      <w:pPr>
        <w:rPr>
          <w:rFonts w:ascii="Arial" w:hAnsi="Arial" w:cs="Arial"/>
          <w:sz w:val="24"/>
          <w:szCs w:val="24"/>
        </w:rPr>
      </w:pPr>
    </w:p>
    <w:p w:rsidR="00A1780D" w:rsidRDefault="00A1780D" w:rsidP="00BB2BF2">
      <w:pPr>
        <w:rPr>
          <w:rFonts w:ascii="Arial" w:hAnsi="Arial" w:cs="Arial"/>
          <w:sz w:val="24"/>
          <w:szCs w:val="24"/>
        </w:rPr>
      </w:pPr>
    </w:p>
    <w:p w:rsidR="00A1780D" w:rsidRDefault="00A1780D" w:rsidP="00BB2BF2">
      <w:pPr>
        <w:rPr>
          <w:rFonts w:ascii="Arial" w:hAnsi="Arial" w:cs="Arial"/>
          <w:sz w:val="24"/>
          <w:szCs w:val="24"/>
        </w:rPr>
      </w:pPr>
    </w:p>
    <w:p w:rsidR="00A1780D" w:rsidRDefault="00A1780D" w:rsidP="00BB2B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lastRenderedPageBreak/>
              <w:t>Assignment</w:t>
            </w:r>
          </w:p>
        </w:tc>
        <w:tc>
          <w:tcPr>
            <w:tcW w:w="1800"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Weighted % of Course Grade</w:t>
            </w:r>
          </w:p>
        </w:tc>
      </w:tr>
      <w:tr w:rsidR="00466D68" w:rsidTr="002E5E7E">
        <w:tc>
          <w:tcPr>
            <w:tcW w:w="4878" w:type="dxa"/>
          </w:tcPr>
          <w:p w:rsidR="00466D68" w:rsidRDefault="00466D68" w:rsidP="002E5E7E">
            <w:pPr>
              <w:tabs>
                <w:tab w:val="left" w:pos="720"/>
              </w:tabs>
              <w:spacing w:before="100" w:beforeAutospacing="1" w:after="100" w:afterAutospacing="1"/>
            </w:pPr>
            <w:r>
              <w:t>Exam #1</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Exam #2</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Quiz #1</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2E5E7E">
            <w:pPr>
              <w:tabs>
                <w:tab w:val="left" w:pos="720"/>
              </w:tabs>
              <w:spacing w:before="100" w:beforeAutospacing="1" w:after="100" w:afterAutospacing="1"/>
            </w:pPr>
            <w:r>
              <w:t>Quiz #2</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AF228E" w:rsidTr="002E5E7E">
        <w:tc>
          <w:tcPr>
            <w:tcW w:w="4878" w:type="dxa"/>
          </w:tcPr>
          <w:p w:rsidR="00AF228E" w:rsidRDefault="00AF228E" w:rsidP="002E5E7E">
            <w:pPr>
              <w:tabs>
                <w:tab w:val="left" w:pos="720"/>
              </w:tabs>
              <w:spacing w:before="100" w:beforeAutospacing="1" w:after="100" w:afterAutospacing="1"/>
            </w:pPr>
            <w:r>
              <w:t>Immobility &amp; Functional Decline Assignment/quiz</w:t>
            </w:r>
          </w:p>
        </w:tc>
        <w:tc>
          <w:tcPr>
            <w:tcW w:w="1800" w:type="dxa"/>
          </w:tcPr>
          <w:p w:rsidR="00AF228E" w:rsidRDefault="00AF228E" w:rsidP="00C051C3">
            <w:pPr>
              <w:tabs>
                <w:tab w:val="left" w:pos="720"/>
              </w:tabs>
              <w:spacing w:before="100" w:beforeAutospacing="1" w:after="100" w:afterAutospacing="1"/>
              <w:jc w:val="center"/>
            </w:pPr>
            <w:r>
              <w:t>4.0%</w:t>
            </w:r>
          </w:p>
        </w:tc>
      </w:tr>
      <w:tr w:rsidR="00466D68" w:rsidTr="002E5E7E">
        <w:tc>
          <w:tcPr>
            <w:tcW w:w="4878" w:type="dxa"/>
          </w:tcPr>
          <w:p w:rsidR="00466D68" w:rsidRDefault="00466D68" w:rsidP="002E5E7E">
            <w:pPr>
              <w:tabs>
                <w:tab w:val="left" w:pos="720"/>
              </w:tabs>
              <w:spacing w:before="100" w:beforeAutospacing="1" w:after="100" w:afterAutospacing="1"/>
            </w:pPr>
            <w:r>
              <w:t>Life Review Assignment</w:t>
            </w:r>
          </w:p>
        </w:tc>
        <w:tc>
          <w:tcPr>
            <w:tcW w:w="1800" w:type="dxa"/>
          </w:tcPr>
          <w:p w:rsidR="00466D68" w:rsidRDefault="00466D68" w:rsidP="002E5E7E">
            <w:pPr>
              <w:tabs>
                <w:tab w:val="left" w:pos="720"/>
              </w:tabs>
              <w:spacing w:before="100" w:beforeAutospacing="1" w:after="100" w:afterAutospacing="1"/>
              <w:jc w:val="center"/>
            </w:pPr>
            <w:r>
              <w:t>20%</w:t>
            </w:r>
          </w:p>
        </w:tc>
      </w:tr>
      <w:tr w:rsidR="00466D68" w:rsidTr="002E5E7E">
        <w:tc>
          <w:tcPr>
            <w:tcW w:w="4878" w:type="dxa"/>
          </w:tcPr>
          <w:p w:rsidR="00466D68" w:rsidRDefault="00466D68" w:rsidP="002E5E7E">
            <w:pPr>
              <w:tabs>
                <w:tab w:val="left" w:pos="720"/>
              </w:tabs>
              <w:spacing w:before="100" w:beforeAutospacing="1" w:after="100" w:afterAutospacing="1"/>
            </w:pPr>
            <w:r>
              <w:t>Cost of Dying Discussion in class</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2E5E7E">
            <w:pPr>
              <w:tabs>
                <w:tab w:val="left" w:pos="720"/>
              </w:tabs>
              <w:spacing w:before="100" w:beforeAutospacing="1" w:after="100" w:afterAutospacing="1"/>
            </w:pPr>
            <w:r>
              <w:t>Alzheimer Discussion</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Grief &amp; Reflections Assignment</w:t>
            </w:r>
          </w:p>
        </w:tc>
        <w:tc>
          <w:tcPr>
            <w:tcW w:w="1800" w:type="dxa"/>
          </w:tcPr>
          <w:p w:rsidR="00466D68" w:rsidRDefault="00AF228E" w:rsidP="002E5E7E">
            <w:pPr>
              <w:tabs>
                <w:tab w:val="left" w:pos="720"/>
              </w:tabs>
              <w:spacing w:before="100" w:beforeAutospacing="1" w:after="100" w:afterAutospacing="1"/>
              <w:jc w:val="center"/>
            </w:pPr>
            <w:r>
              <w:t>7</w:t>
            </w:r>
            <w:r w:rsidR="00466D68">
              <w:t>.0%</w:t>
            </w:r>
          </w:p>
        </w:tc>
      </w:tr>
    </w:tbl>
    <w:p w:rsidR="00F666FD" w:rsidRPr="00521B56" w:rsidRDefault="00F666FD"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FC462D" w:rsidRPr="00521B56" w:rsidRDefault="00934FF9" w:rsidP="00934FF9">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E91E3F" w:rsidRDefault="00E91E3F" w:rsidP="00BA5C0C">
      <w:pPr>
        <w:rPr>
          <w:rFonts w:ascii="Arial" w:hAnsi="Arial" w:cs="Arial"/>
          <w:b/>
          <w:sz w:val="24"/>
          <w:szCs w:val="24"/>
        </w:rPr>
      </w:pPr>
    </w:p>
    <w:p w:rsidR="00E91E3F" w:rsidRDefault="00E91E3F" w:rsidP="00BA5C0C">
      <w:pPr>
        <w:rPr>
          <w:rFonts w:ascii="Arial" w:hAnsi="Arial" w:cs="Arial"/>
          <w:b/>
          <w:sz w:val="24"/>
          <w:szCs w:val="24"/>
        </w:rPr>
      </w:pPr>
    </w:p>
    <w:p w:rsidR="00E91E3F" w:rsidRPr="002F3E30" w:rsidRDefault="00E91E3F" w:rsidP="00E91E3F">
      <w:pPr>
        <w:spacing w:after="100"/>
        <w:rPr>
          <w:rFonts w:ascii="Arial" w:hAnsi="Arial" w:cs="Arial"/>
          <w:b/>
          <w:color w:val="0051BA"/>
        </w:rPr>
      </w:pPr>
      <w:r w:rsidRPr="002F3E30">
        <w:rPr>
          <w:rFonts w:ascii="Arial" w:hAnsi="Arial" w:cs="Arial"/>
          <w:b/>
          <w:color w:val="0051BA"/>
        </w:rPr>
        <w:t>Teaching Methods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Readings</w:t>
      </w:r>
      <w:r>
        <w:rPr>
          <w:rFonts w:ascii="Arial" w:hAnsi="Arial" w:cs="Arial"/>
          <w:b/>
        </w:rPr>
        <w:t xml:space="preserve"> and online videos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Lectures</w:t>
      </w:r>
      <w:r>
        <w:rPr>
          <w:rFonts w:ascii="Arial" w:hAnsi="Arial" w:cs="Arial"/>
          <w:b/>
        </w:rPr>
        <w:t xml:space="preserve"> and classroom activities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Written Assignments</w:t>
      </w:r>
    </w:p>
    <w:p w:rsidR="00E91E3F" w:rsidRDefault="00E91E3F" w:rsidP="00E91E3F">
      <w:pPr>
        <w:spacing w:after="100"/>
        <w:ind w:left="180"/>
        <w:rPr>
          <w:rFonts w:ascii="Arial" w:hAnsi="Arial" w:cs="Arial"/>
        </w:rPr>
      </w:pPr>
      <w:r>
        <w:rPr>
          <w:rFonts w:ascii="Arial" w:hAnsi="Arial" w:cs="Arial"/>
        </w:rPr>
        <w:t xml:space="preserve">Each student will conduct an interview with an Elder for the purpose of assisting that person in performing a </w:t>
      </w:r>
      <w:r w:rsidRPr="005A182E">
        <w:rPr>
          <w:rFonts w:ascii="Arial" w:hAnsi="Arial" w:cs="Arial"/>
          <w:b/>
        </w:rPr>
        <w:t>Life Review</w:t>
      </w:r>
      <w:r>
        <w:rPr>
          <w:rFonts w:ascii="Arial" w:hAnsi="Arial" w:cs="Arial"/>
        </w:rPr>
        <w:t xml:space="preserve">. The guidelines for the interview and paper, as well as the grading rubric will be available ONLINE. Students are expected to work independently on this project. The student is expected to select an elder age 70+ and not a close family member. </w:t>
      </w:r>
    </w:p>
    <w:p w:rsidR="00E91E3F" w:rsidRPr="005A182E" w:rsidRDefault="00E91E3F" w:rsidP="00E91E3F">
      <w:pPr>
        <w:spacing w:after="100"/>
        <w:ind w:left="180"/>
        <w:rPr>
          <w:rFonts w:ascii="Arial" w:hAnsi="Arial" w:cs="Arial"/>
          <w:b/>
        </w:rPr>
      </w:pPr>
      <w:r w:rsidRPr="005A182E">
        <w:rPr>
          <w:rFonts w:ascii="Arial" w:hAnsi="Arial" w:cs="Arial"/>
          <w:b/>
        </w:rPr>
        <w:t xml:space="preserve">Self-Assessment </w:t>
      </w:r>
    </w:p>
    <w:p w:rsidR="00E91E3F" w:rsidRDefault="00E91E3F" w:rsidP="00E91E3F">
      <w:pPr>
        <w:spacing w:after="100"/>
        <w:ind w:left="180"/>
        <w:rPr>
          <w:rFonts w:ascii="Arial" w:hAnsi="Arial" w:cs="Arial"/>
          <w:b/>
        </w:rPr>
      </w:pPr>
      <w:r>
        <w:rPr>
          <w:rFonts w:ascii="Arial" w:hAnsi="Arial" w:cs="Arial"/>
          <w:b/>
        </w:rPr>
        <w:t>Reflections</w:t>
      </w:r>
    </w:p>
    <w:p w:rsidR="00E91E3F" w:rsidRDefault="00E91E3F" w:rsidP="00E91E3F">
      <w:pPr>
        <w:spacing w:after="100"/>
        <w:rPr>
          <w:rFonts w:ascii="Arial" w:hAnsi="Arial" w:cs="Arial"/>
          <w:b/>
        </w:rPr>
      </w:pPr>
      <w:r>
        <w:rPr>
          <w:rFonts w:ascii="Arial" w:hAnsi="Arial" w:cs="Arial"/>
          <w:b/>
        </w:rPr>
        <w:t>Discussions: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Discussion Boards</w:t>
      </w:r>
    </w:p>
    <w:p w:rsidR="00E91E3F" w:rsidRPr="00610177" w:rsidRDefault="00E91E3F" w:rsidP="00E91E3F">
      <w:pPr>
        <w:spacing w:after="200"/>
        <w:rPr>
          <w:rFonts w:ascii="Arial" w:hAnsi="Arial" w:cs="Arial"/>
          <w:b/>
          <w:u w:val="single"/>
        </w:rPr>
      </w:pPr>
      <w:r w:rsidRPr="00477FA6">
        <w:rPr>
          <w:rFonts w:ascii="Arial" w:hAnsi="Arial" w:cs="Arial"/>
        </w:rPr>
        <w:t>The discussion board should be viewed as a public and prof</w:t>
      </w:r>
      <w:r>
        <w:rPr>
          <w:rFonts w:ascii="Arial" w:hAnsi="Arial" w:cs="Arial"/>
        </w:rPr>
        <w:t xml:space="preserve">essional forum for discussion. </w:t>
      </w:r>
      <w:r w:rsidRPr="00477FA6">
        <w:rPr>
          <w:rFonts w:ascii="Arial" w:hAnsi="Arial" w:cs="Arial"/>
        </w:rPr>
        <w:t>Students are free to discuss academic matters and consult one another regarding academic resources.</w:t>
      </w:r>
      <w:r>
        <w:rPr>
          <w:rFonts w:ascii="Arial" w:hAnsi="Arial" w:cs="Arial"/>
        </w:rPr>
        <w:t xml:space="preserve"> </w:t>
      </w:r>
      <w:r w:rsidRPr="00477FA6">
        <w:rPr>
          <w:rFonts w:ascii="Arial" w:hAnsi="Arial" w:cs="Arial"/>
        </w:rPr>
        <w:t>The tone of postings on the discussion board should remain professional in nature.</w:t>
      </w:r>
      <w:r>
        <w:rPr>
          <w:rFonts w:ascii="Arial" w:hAnsi="Arial" w:cs="Arial"/>
        </w:rPr>
        <w:t xml:space="preserve"> </w:t>
      </w:r>
      <w:r w:rsidRPr="00477FA6">
        <w:rPr>
          <w:rFonts w:ascii="Arial" w:hAnsi="Arial" w:cs="Arial"/>
        </w:rPr>
        <w:t>It is not appropriate to post statements of a personal or political nature, or statements criticizing classmates or faculty.</w:t>
      </w:r>
      <w:r>
        <w:rPr>
          <w:rFonts w:ascii="Arial" w:hAnsi="Arial" w:cs="Arial"/>
        </w:rPr>
        <w:t xml:space="preserve"> </w:t>
      </w:r>
      <w:r w:rsidRPr="00477FA6">
        <w:rPr>
          <w:rFonts w:ascii="Arial" w:hAnsi="Arial" w:cs="Arial"/>
        </w:rPr>
        <w:t>Inappropriate statements will be deleted by the course faculty.</w:t>
      </w:r>
      <w:r>
        <w:rPr>
          <w:rFonts w:ascii="Arial" w:hAnsi="Arial" w:cs="Arial"/>
        </w:rPr>
        <w:t xml:space="preserve"> </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Pr>
          <w:rFonts w:ascii="Arial" w:hAnsi="Arial" w:cs="Arial"/>
          <w:b/>
        </w:rPr>
        <w:t xml:space="preserve"> </w:t>
      </w:r>
      <w:r w:rsidRPr="002E0485">
        <w:rPr>
          <w:rFonts w:ascii="Arial" w:hAnsi="Arial" w:cs="Arial"/>
          <w:b/>
        </w:rPr>
        <w:t>Quizzes</w:t>
      </w:r>
      <w:r>
        <w:rPr>
          <w:rFonts w:ascii="Arial" w:hAnsi="Arial" w:cs="Arial"/>
          <w:b/>
        </w:rPr>
        <w:t xml:space="preserve"> (online and/or in the classroom</w:t>
      </w:r>
    </w:p>
    <w:p w:rsidR="00E91E3F" w:rsidRDefault="00E91E3F" w:rsidP="00E91E3F">
      <w:pPr>
        <w:tabs>
          <w:tab w:val="left" w:pos="0"/>
        </w:tabs>
        <w:spacing w:before="100" w:after="100"/>
        <w:rPr>
          <w:rFonts w:ascii="Arial" w:eastAsia="Calibri" w:hAnsi="Arial" w:cs="Arial"/>
          <w:i/>
          <w:color w:val="000000"/>
        </w:rPr>
      </w:pPr>
      <w:r w:rsidRPr="00B91FFE">
        <w:rPr>
          <w:rFonts w:ascii="Arial" w:hAnsi="Arial" w:cs="Arial"/>
          <w:bCs/>
        </w:rPr>
        <w:t>I certify these responses are entirely my own work. I have not copied the work of any other student (past</w:t>
      </w:r>
      <w:r w:rsidRPr="00862C73">
        <w:rPr>
          <w:rFonts w:ascii="Arial" w:eastAsia="Calibri" w:hAnsi="Arial" w:cs="Arial"/>
          <w:i/>
          <w:color w:val="000000"/>
        </w:rPr>
        <w:t xml:space="preserve"> or present) or collaborated with anyone on this quiz. In addition, I will not share the questions or answers from this quiz with other students. I understand that academic dishonesty is grounds for dismissal from the program. </w:t>
      </w:r>
    </w:p>
    <w:p w:rsidR="00E91E3F" w:rsidRDefault="00E91E3F" w:rsidP="00E91E3F">
      <w:pPr>
        <w:tabs>
          <w:tab w:val="left" w:pos="0"/>
        </w:tabs>
        <w:spacing w:before="100" w:after="200"/>
        <w:rPr>
          <w:rFonts w:ascii="Arial" w:hAnsi="Arial" w:cs="Arial"/>
        </w:rPr>
      </w:pPr>
      <w:r w:rsidRPr="00B91FFE">
        <w:rPr>
          <w:rFonts w:ascii="Arial" w:hAnsi="Arial" w:cs="Arial"/>
          <w:bCs/>
        </w:rPr>
        <w:t>All students are expected to take the quizzes</w:t>
      </w:r>
      <w:r>
        <w:rPr>
          <w:rFonts w:ascii="Arial" w:hAnsi="Arial" w:cs="Arial"/>
          <w:bCs/>
        </w:rPr>
        <w:t xml:space="preserve"> </w:t>
      </w:r>
      <w:r w:rsidRPr="00B91FFE">
        <w:rPr>
          <w:rFonts w:ascii="Arial" w:hAnsi="Arial" w:cs="Arial"/>
          <w:bCs/>
        </w:rPr>
        <w:t>during the scheduled time.  In the event a student anticipates</w:t>
      </w:r>
      <w:r>
        <w:rPr>
          <w:rFonts w:ascii="Arial" w:hAnsi="Arial" w:cs="Arial"/>
        </w:rPr>
        <w:t xml:space="preserve"> that he/she will not be able to meet the deadline for taking a quiz due to circumstances beyond his/her control, the student is expected to notify the faculty</w:t>
      </w:r>
      <w:r w:rsidRPr="002E0485">
        <w:rPr>
          <w:rFonts w:ascii="Arial" w:hAnsi="Arial" w:cs="Arial"/>
        </w:rPr>
        <w:t xml:space="preserve"> </w:t>
      </w:r>
      <w:r w:rsidRPr="002E0485">
        <w:rPr>
          <w:rFonts w:ascii="Arial" w:hAnsi="Arial" w:cs="Arial"/>
          <w:b/>
        </w:rPr>
        <w:t>before</w:t>
      </w:r>
      <w:r>
        <w:rPr>
          <w:rFonts w:ascii="Arial" w:hAnsi="Arial" w:cs="Arial"/>
        </w:rPr>
        <w:t xml:space="preserve"> the deadline. </w:t>
      </w:r>
    </w:p>
    <w:p w:rsidR="00E91E3F" w:rsidRDefault="00E91E3F" w:rsidP="00E91E3F">
      <w:pPr>
        <w:tabs>
          <w:tab w:val="left" w:pos="0"/>
        </w:tabs>
        <w:spacing w:before="100" w:after="200"/>
        <w:rPr>
          <w:rFonts w:ascii="Arial" w:hAnsi="Arial" w:cs="Arial"/>
        </w:rPr>
      </w:pPr>
      <w:r>
        <w:rPr>
          <w:rFonts w:ascii="Arial" w:hAnsi="Arial" w:cs="Arial"/>
        </w:rPr>
        <w:t>Exams:</w:t>
      </w:r>
    </w:p>
    <w:p w:rsidR="00BA5C0C" w:rsidRDefault="00E91E3F" w:rsidP="00E91E3F">
      <w:pPr>
        <w:tabs>
          <w:tab w:val="left" w:pos="0"/>
        </w:tabs>
        <w:spacing w:before="100" w:after="200"/>
        <w:rPr>
          <w:rFonts w:ascii="Arial" w:hAnsi="Arial" w:cs="Arial"/>
          <w:b/>
          <w:sz w:val="24"/>
          <w:szCs w:val="24"/>
        </w:rPr>
      </w:pPr>
      <w:r>
        <w:rPr>
          <w:rFonts w:ascii="Arial" w:hAnsi="Arial" w:cs="Arial"/>
        </w:rPr>
        <w:t>There will be two written exams during the course. The exams are on-line through Blackboard and will be scheduled for specific times in class. If a student is unable to take the exam she/he must notify the instructor in advance if possible.</w:t>
      </w:r>
    </w:p>
    <w:p w:rsidR="007E3839" w:rsidRDefault="007E3839"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t xml:space="preserve">At The University of Texas at Arlington, taking attendance is not required. Rather, each faculty member is free to develop his or her own methods of evaluating students’ academic </w:t>
      </w:r>
      <w:r w:rsidRPr="00AA0705">
        <w:rPr>
          <w:rFonts w:ascii="Arial" w:hAnsi="Arial" w:cs="Arial"/>
          <w:sz w:val="24"/>
          <w:szCs w:val="24"/>
        </w:rPr>
        <w:lastRenderedPageBreak/>
        <w:t>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Default="00392736" w:rsidP="00392736">
      <w:pPr>
        <w:tabs>
          <w:tab w:val="left" w:pos="540"/>
          <w:tab w:val="left" w:pos="3420"/>
          <w:tab w:val="decimal" w:pos="8064"/>
        </w:tabs>
        <w:rPr>
          <w:rFonts w:ascii="Arial" w:hAnsi="Arial" w:cs="Arial"/>
          <w:b/>
          <w:bCs/>
        </w:rPr>
      </w:pPr>
      <w:r w:rsidRPr="00392736">
        <w:rPr>
          <w:rFonts w:ascii="Arial" w:hAnsi="Arial" w:cs="Arial"/>
          <w:b/>
          <w:bCs/>
        </w:rPr>
        <w:t>Student Responsibilities:</w:t>
      </w:r>
    </w:p>
    <w:p w:rsidR="006B1363" w:rsidRPr="006B1363" w:rsidRDefault="006B1363" w:rsidP="006B1363">
      <w:pPr>
        <w:pStyle w:val="ListParagraph"/>
        <w:numPr>
          <w:ilvl w:val="0"/>
          <w:numId w:val="2"/>
        </w:numPr>
        <w:tabs>
          <w:tab w:val="left" w:pos="540"/>
          <w:tab w:val="left" w:pos="3420"/>
          <w:tab w:val="decimal" w:pos="8064"/>
        </w:tabs>
        <w:rPr>
          <w:rFonts w:ascii="Arial" w:hAnsi="Arial" w:cs="Arial"/>
          <w:b/>
        </w:rPr>
      </w:pPr>
      <w:r>
        <w:rPr>
          <w:rFonts w:ascii="Arial" w:hAnsi="Arial" w:cs="Arial"/>
          <w:b/>
        </w:rPr>
        <w:t xml:space="preserve">   Review and sign a document attesting to intent to abide by the University and College of Nursing standards for ethical behavior</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w:t>
      </w:r>
      <w:proofErr w:type="spellStart"/>
      <w:r w:rsidRPr="00EC1E56">
        <w:rPr>
          <w:rFonts w:ascii="Arial" w:hAnsi="Arial" w:cs="Arial"/>
        </w:rPr>
        <w:t>MyMav</w:t>
      </w:r>
      <w:proofErr w:type="spellEnd"/>
      <w:r w:rsidRPr="00EC1E5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Pr="000D30CA" w:rsidRDefault="004D59B2" w:rsidP="004D59B2">
      <w:pPr>
        <w:pStyle w:val="NoSpacing"/>
        <w:rPr>
          <w:rStyle w:val="Strong"/>
          <w:rFonts w:ascii="Arial" w:hAnsi="Arial" w:cs="Arial"/>
        </w:rPr>
      </w:pPr>
      <w:r w:rsidRPr="000D30CA">
        <w:rPr>
          <w:rStyle w:val="Strong"/>
          <w:rFonts w:ascii="Arial" w:hAnsi="Arial" w:cs="Arial"/>
        </w:rPr>
        <w:t xml:space="preserve">The drop dates in </w:t>
      </w:r>
      <w:r w:rsidR="00AF228E">
        <w:rPr>
          <w:rStyle w:val="Strong"/>
          <w:rFonts w:ascii="Arial" w:hAnsi="Arial" w:cs="Arial"/>
        </w:rPr>
        <w:t>FALL</w:t>
      </w:r>
      <w:r w:rsidR="006B1363">
        <w:rPr>
          <w:rStyle w:val="Strong"/>
          <w:rFonts w:ascii="Arial" w:hAnsi="Arial" w:cs="Arial"/>
        </w:rPr>
        <w:t xml:space="preserve"> 2016</w:t>
      </w:r>
      <w:r w:rsidRPr="000D30CA">
        <w:rPr>
          <w:rStyle w:val="Strong"/>
          <w:rFonts w:ascii="Arial" w:hAnsi="Arial" w:cs="Arial"/>
        </w:rPr>
        <w:t xml:space="preserve"> for </w:t>
      </w:r>
      <w:r>
        <w:rPr>
          <w:rStyle w:val="Strong"/>
          <w:rFonts w:ascii="Arial" w:hAnsi="Arial" w:cs="Arial"/>
        </w:rPr>
        <w:t xml:space="preserve">N3261 </w:t>
      </w:r>
      <w:r w:rsidR="006B1363">
        <w:rPr>
          <w:rStyle w:val="Strong"/>
          <w:rFonts w:ascii="Arial" w:hAnsi="Arial" w:cs="Arial"/>
        </w:rPr>
        <w:t>Nursing of Older Adults</w:t>
      </w:r>
      <w:r w:rsidRPr="000D30CA">
        <w:rPr>
          <w:rStyle w:val="Strong"/>
          <w:rFonts w:ascii="Arial" w:hAnsi="Arial" w:cs="Arial"/>
        </w:rPr>
        <w:t xml:space="preserve"> :</w:t>
      </w:r>
    </w:p>
    <w:p w:rsidR="004D59B2" w:rsidRPr="000D30CA" w:rsidRDefault="004D59B2" w:rsidP="004D59B2">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A470D9" w:rsidP="004D59B2">
      <w:pPr>
        <w:pStyle w:val="NoSpacing"/>
        <w:jc w:val="center"/>
        <w:rPr>
          <w:rStyle w:val="Strong"/>
          <w:rFonts w:ascii="Arial" w:hAnsi="Arial" w:cs="Arial"/>
        </w:rPr>
      </w:pPr>
      <w:r w:rsidRPr="00560401">
        <w:rPr>
          <w:rStyle w:val="Strong"/>
          <w:rFonts w:ascii="Arial" w:hAnsi="Arial" w:cs="Arial"/>
          <w:color w:val="FF0000"/>
        </w:rPr>
        <w:t>September 27, 2016</w:t>
      </w:r>
    </w:p>
    <w:p w:rsidR="004D59B2" w:rsidRPr="000D30CA" w:rsidRDefault="004D59B2" w:rsidP="004D59B2">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A470D9" w:rsidP="004D59B2">
      <w:pPr>
        <w:pStyle w:val="NoSpacing"/>
        <w:jc w:val="center"/>
        <w:rPr>
          <w:rStyle w:val="Strong"/>
          <w:rFonts w:ascii="Arial" w:hAnsi="Arial" w:cs="Arial"/>
        </w:rPr>
      </w:pPr>
      <w:bookmarkStart w:id="0" w:name="_GoBack"/>
      <w:r w:rsidRPr="00560401">
        <w:rPr>
          <w:rStyle w:val="Strong"/>
          <w:rFonts w:ascii="Arial" w:hAnsi="Arial" w:cs="Arial"/>
          <w:color w:val="FF0000"/>
        </w:rPr>
        <w:t>November 23, 2016</w:t>
      </w:r>
      <w:bookmarkEnd w:id="0"/>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A470D9" w:rsidRPr="0093342E" w:rsidRDefault="00A470D9" w:rsidP="00A470D9">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w:t>
      </w:r>
      <w:r w:rsidRPr="0093342E">
        <w:rPr>
          <w:rFonts w:ascii="Arial" w:hAnsi="Arial" w:cs="Arial"/>
          <w:i/>
          <w:sz w:val="24"/>
          <w:szCs w:val="24"/>
        </w:rPr>
        <w:lastRenderedPageBreak/>
        <w:t xml:space="preserve">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470D9" w:rsidRPr="0093342E" w:rsidRDefault="00A470D9" w:rsidP="00A470D9">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proofErr w:type="gramStart"/>
      <w:r w:rsidRPr="0093342E">
        <w:rPr>
          <w:rFonts w:ascii="Arial" w:hAnsi="Arial" w:cs="Arial"/>
          <w:b/>
          <w:u w:val="single"/>
        </w:rPr>
        <w:t>)</w:t>
      </w:r>
      <w:r w:rsidRPr="0093342E">
        <w:rPr>
          <w:rFonts w:ascii="Arial" w:hAnsi="Arial" w:cs="Arial"/>
        </w:rPr>
        <w:t xml:space="preserve">  </w:t>
      </w:r>
      <w:proofErr w:type="gramEnd"/>
      <w:r w:rsidRPr="0093342E">
        <w:fldChar w:fldCharType="begin"/>
      </w:r>
      <w:r w:rsidRPr="0093342E">
        <w:rPr>
          <w:rFonts w:ascii="Arial" w:hAnsi="Arial" w:cs="Arial"/>
        </w:rPr>
        <w:instrText xml:space="preserve"> HYPERLINK "http://www.uta.edu/disability" </w:instrText>
      </w:r>
      <w:r w:rsidRPr="0093342E">
        <w:fldChar w:fldCharType="separate"/>
      </w:r>
      <w:r w:rsidRPr="0093342E">
        <w:rPr>
          <w:rStyle w:val="Hyperlink"/>
          <w:rFonts w:ascii="Arial" w:hAnsi="Arial" w:cs="Arial"/>
        </w:rPr>
        <w:t>www.uta.edu/disability</w:t>
      </w:r>
      <w:r w:rsidRPr="0093342E">
        <w:rPr>
          <w:rStyle w:val="Hyperlink"/>
          <w:rFonts w:ascii="Arial" w:hAnsi="Arial" w:cs="Arial"/>
        </w:rPr>
        <w:fldChar w:fldCharType="end"/>
      </w:r>
      <w:r w:rsidRPr="0093342E">
        <w:rPr>
          <w:rFonts w:ascii="Arial" w:hAnsi="Arial" w:cs="Arial"/>
        </w:rPr>
        <w:t xml:space="preserve"> or calling 817-272-3364. Information regarding diagnostic criteria and policies for obtaining disability-based academic accommodations can be found at </w:t>
      </w:r>
      <w:hyperlink r:id="rId10" w:history="1">
        <w:r w:rsidRPr="0093342E">
          <w:rPr>
            <w:rStyle w:val="Hyperlink"/>
            <w:rFonts w:ascii="Arial" w:hAnsi="Arial" w:cs="Arial"/>
          </w:rPr>
          <w:t>www.uta.edu/disability</w:t>
        </w:r>
      </w:hyperlink>
      <w:r w:rsidRPr="0093342E">
        <w:rPr>
          <w:rStyle w:val="Hyperlink"/>
          <w:rFonts w:ascii="Arial" w:hAnsi="Arial" w:cs="Arial"/>
        </w:rPr>
        <w:t>.</w:t>
      </w:r>
    </w:p>
    <w:p w:rsidR="00A470D9" w:rsidRPr="0093342E" w:rsidRDefault="00A470D9" w:rsidP="00A470D9">
      <w:pPr>
        <w:rPr>
          <w:rFonts w:ascii="Arial" w:hAnsi="Arial" w:cs="Arial"/>
          <w:sz w:val="24"/>
          <w:szCs w:val="24"/>
        </w:rPr>
      </w:pPr>
    </w:p>
    <w:p w:rsidR="00A470D9" w:rsidRPr="0093342E" w:rsidRDefault="00A470D9" w:rsidP="00A470D9">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1"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A470D9" w:rsidRPr="0093342E" w:rsidRDefault="00A470D9" w:rsidP="00A470D9">
      <w:pPr>
        <w:rPr>
          <w:rFonts w:ascii="Arial" w:hAnsi="Arial" w:cs="Arial"/>
          <w:sz w:val="24"/>
          <w:szCs w:val="24"/>
        </w:rPr>
      </w:pPr>
    </w:p>
    <w:p w:rsidR="00A470D9" w:rsidRPr="0093342E" w:rsidRDefault="00A470D9" w:rsidP="00A470D9">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3342E">
          <w:rPr>
            <w:rStyle w:val="Hyperlink"/>
            <w:rFonts w:ascii="Arial" w:hAnsi="Arial" w:cs="Arial"/>
            <w:i/>
            <w:iCs/>
            <w:sz w:val="24"/>
            <w:szCs w:val="24"/>
          </w:rPr>
          <w:t>uta.edu/</w:t>
        </w:r>
        <w:proofErr w:type="spellStart"/>
        <w:r w:rsidRPr="0093342E">
          <w:rPr>
            <w:rStyle w:val="Hyperlink"/>
            <w:rFonts w:ascii="Arial" w:hAnsi="Arial" w:cs="Arial"/>
            <w:i/>
            <w:iCs/>
            <w:sz w:val="24"/>
            <w:szCs w:val="24"/>
          </w:rPr>
          <w:t>eos</w:t>
        </w:r>
        <w:proofErr w:type="spellEnd"/>
      </w:hyperlink>
      <w:r w:rsidRPr="0093342E">
        <w:rPr>
          <w:rFonts w:ascii="Arial" w:hAnsi="Arial" w:cs="Arial"/>
          <w:i/>
          <w:iCs/>
          <w:sz w:val="24"/>
          <w:szCs w:val="24"/>
        </w:rPr>
        <w:t>.</w:t>
      </w:r>
    </w:p>
    <w:p w:rsidR="00A470D9" w:rsidRPr="0093342E" w:rsidRDefault="00A470D9" w:rsidP="00A470D9">
      <w:pPr>
        <w:rPr>
          <w:rFonts w:ascii="Arial" w:hAnsi="Arial" w:cs="Arial"/>
          <w:i/>
          <w:iCs/>
          <w:sz w:val="24"/>
          <w:szCs w:val="24"/>
        </w:rPr>
      </w:pPr>
    </w:p>
    <w:p w:rsidR="00A470D9" w:rsidRPr="0093342E" w:rsidRDefault="00A470D9" w:rsidP="00A470D9">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3342E">
        <w:rPr>
          <w:rFonts w:ascii="Arial" w:hAnsi="Arial" w:cs="Arial"/>
          <w:iCs/>
          <w:sz w:val="24"/>
          <w:szCs w:val="24"/>
        </w:rPr>
        <w:t>SaVE</w:t>
      </w:r>
      <w:proofErr w:type="spellEnd"/>
      <w:r w:rsidRPr="0093342E">
        <w:rPr>
          <w:rFonts w:ascii="Arial" w:hAnsi="Arial" w:cs="Arial"/>
          <w:iCs/>
          <w:sz w:val="24"/>
          <w:szCs w:val="24"/>
        </w:rPr>
        <w:t xml:space="preser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3"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4" w:history="1">
        <w:r w:rsidRPr="0093342E">
          <w:rPr>
            <w:rStyle w:val="Hyperlink"/>
            <w:rFonts w:ascii="Arial" w:hAnsi="Arial" w:cs="Arial"/>
            <w:sz w:val="24"/>
            <w:szCs w:val="24"/>
          </w:rPr>
          <w:t>jmhood@uta.edu</w:t>
        </w:r>
      </w:hyperlink>
      <w:r w:rsidRPr="0093342E">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A470D9" w:rsidRDefault="00EC1E56" w:rsidP="00A470D9">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70D9" w:rsidRDefault="00A470D9" w:rsidP="00A470D9">
      <w:pPr>
        <w:pStyle w:val="Default0"/>
        <w:spacing w:after="80"/>
        <w:ind w:right="-72"/>
        <w:jc w:val="both"/>
        <w:rPr>
          <w:rFonts w:ascii="Arial" w:hAnsi="Arial" w:cs="Arial"/>
          <w:i/>
        </w:rPr>
      </w:pPr>
    </w:p>
    <w:p w:rsidR="00EC1E56" w:rsidRPr="00EC1E56" w:rsidRDefault="00EC1E56" w:rsidP="00A470D9">
      <w:pPr>
        <w:pStyle w:val="Default0"/>
        <w:spacing w:after="80"/>
        <w:ind w:right="-72"/>
        <w:jc w:val="both"/>
        <w:rPr>
          <w:rFonts w:ascii="Arial" w:hAnsi="Arial" w:cs="Arial"/>
        </w:rPr>
      </w:pPr>
      <w:r w:rsidRPr="00EC1E56">
        <w:rPr>
          <w:rFonts w:ascii="Arial" w:hAnsi="Arial"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rPr>
        <w:t>Regents’ Rule</w:t>
      </w:r>
      <w:r w:rsidRPr="00EC1E5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7"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is available at </w:t>
      </w:r>
      <w:hyperlink r:id="rId18"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A470D9" w:rsidRPr="0093342E" w:rsidRDefault="00A470D9" w:rsidP="00A470D9">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w:t>
      </w:r>
      <w:proofErr w:type="gramStart"/>
      <w:r w:rsidRPr="0093342E">
        <w:rPr>
          <w:rFonts w:ascii="Arial" w:hAnsi="Arial" w:cs="Arial"/>
          <w:sz w:val="24"/>
          <w:szCs w:val="24"/>
        </w:rPr>
        <w:t>law  (</w:t>
      </w:r>
      <w:proofErr w:type="gramEnd"/>
      <w:r w:rsidRPr="0093342E">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93342E">
          <w:rPr>
            <w:rStyle w:val="Hyperlink"/>
            <w:rFonts w:ascii="Arial" w:hAnsi="Arial" w:cs="Arial"/>
            <w:sz w:val="24"/>
            <w:szCs w:val="24"/>
          </w:rPr>
          <w:t>http://www.uta.edu/news/info/campus-carry/</w:t>
        </w:r>
      </w:hyperlink>
    </w:p>
    <w:p w:rsidR="00A470D9" w:rsidRDefault="00A470D9" w:rsidP="00EC1E56">
      <w:pPr>
        <w:autoSpaceDE w:val="0"/>
        <w:autoSpaceDN w:val="0"/>
        <w:adjustRightInd w:val="0"/>
        <w:rPr>
          <w:rFonts w:ascii="Arial" w:hAnsi="Arial" w:cs="Arial"/>
          <w:b/>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C1E56">
        <w:rPr>
          <w:rFonts w:ascii="Arial" w:hAnsi="Arial" w:cs="Arial"/>
          <w:bCs/>
          <w:sz w:val="24"/>
          <w:szCs w:val="24"/>
        </w:rPr>
        <w:t>MavMail</w:t>
      </w:r>
      <w:proofErr w:type="spellEnd"/>
      <w:r w:rsidRPr="00EC1E5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w:t>
      </w:r>
      <w:r w:rsidRPr="007600F7">
        <w:rPr>
          <w:rFonts w:ascii="Arial" w:hAnsi="Arial" w:cs="Arial"/>
          <w:sz w:val="24"/>
          <w:szCs w:val="21"/>
        </w:rPr>
        <w:lastRenderedPageBreak/>
        <w:t xml:space="preserve">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sidR="00A83FDC">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 xml:space="preserve">Peace </w:t>
      </w:r>
      <w:proofErr w:type="spellStart"/>
      <w:r w:rsidR="004D59B2" w:rsidRPr="00304195">
        <w:rPr>
          <w:rFonts w:ascii="Arial" w:hAnsi="Arial" w:cs="Arial"/>
          <w:b/>
        </w:rPr>
        <w:t>Ossom</w:t>
      </w:r>
      <w:proofErr w:type="spellEnd"/>
      <w:r w:rsidR="004D59B2" w:rsidRPr="00304195">
        <w:rPr>
          <w:rFonts w:ascii="Arial" w:hAnsi="Arial" w:cs="Arial"/>
          <w:b/>
        </w:rPr>
        <w:t xml:space="preserve">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000D5A" w:rsidP="004D59B2">
      <w:pPr>
        <w:pStyle w:val="NoSpacing"/>
        <w:ind w:left="3600"/>
        <w:rPr>
          <w:rFonts w:ascii="Arial" w:hAnsi="Arial" w:cs="Arial"/>
          <w:color w:val="1F497D"/>
        </w:rPr>
      </w:pPr>
      <w:hyperlink r:id="rId21"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22"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4D59B2" w:rsidRPr="00304195" w:rsidRDefault="00000D5A" w:rsidP="004D59B2">
      <w:pPr>
        <w:pStyle w:val="NoSpacing"/>
        <w:ind w:left="3600"/>
        <w:rPr>
          <w:rFonts w:ascii="Arial" w:hAnsi="Arial" w:cs="Arial"/>
          <w:color w:val="1F497D"/>
        </w:rPr>
      </w:pPr>
      <w:hyperlink r:id="rId23"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4D59B2">
      <w:pPr>
        <w:pStyle w:val="NoSpacing"/>
        <w:rPr>
          <w:rFonts w:ascii="Arial" w:hAnsi="Arial" w:cs="Arial"/>
        </w:rPr>
      </w:pP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w:t>
      </w:r>
      <w:r w:rsidR="00D42AAB">
        <w:rPr>
          <w:rFonts w:ascii="Arial" w:hAnsi="Arial" w:cs="Arial"/>
        </w:rPr>
        <w:t>43</w:t>
      </w:r>
      <w:r w:rsidRPr="00EC1E56">
        <w:rPr>
          <w:rFonts w:ascii="Arial" w:hAnsi="Arial" w:cs="Arial"/>
        </w:rPr>
        <w:t xml:space="preserve">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4"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w:t>
      </w:r>
      <w:r w:rsidR="00D42AAB">
        <w:rPr>
          <w:rFonts w:ascii="Arial" w:hAnsi="Arial" w:cs="Arial"/>
        </w:rPr>
        <w:t>45</w:t>
      </w:r>
      <w:r w:rsidRPr="00EC1E56">
        <w:rPr>
          <w:rFonts w:ascii="Arial" w:hAnsi="Arial" w:cs="Arial"/>
        </w:rPr>
        <w:t xml:space="preserve">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5" w:history="1">
        <w:r w:rsidRPr="00EC1E56">
          <w:rPr>
            <w:rStyle w:val="Hyperlink"/>
            <w:rFonts w:ascii="Arial" w:hAnsi="Arial" w:cs="Arial"/>
          </w:rPr>
          <w:t>skyle@uta.edu</w:t>
        </w:r>
      </w:hyperlink>
    </w:p>
    <w:p w:rsidR="00E15D17" w:rsidRPr="00521B56" w:rsidRDefault="00E15D17" w:rsidP="00DA7297">
      <w:pPr>
        <w:pStyle w:val="a"/>
        <w:ind w:left="0" w:firstLine="0"/>
        <w:rPr>
          <w:rFonts w:ascii="Arial" w:hAnsi="Arial" w:cs="Arial"/>
        </w:rPr>
      </w:pPr>
    </w:p>
    <w:p w:rsidR="00A83FDC" w:rsidRPr="0093342E" w:rsidRDefault="00A83FDC" w:rsidP="00A83FDC">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3342E">
          <w:rPr>
            <w:rStyle w:val="Hyperlink"/>
            <w:rFonts w:ascii="Arial" w:hAnsi="Arial" w:cs="Arial"/>
            <w:color w:val="auto"/>
            <w:sz w:val="24"/>
            <w:szCs w:val="24"/>
          </w:rPr>
          <w:t>http://library.uta.edu/academic-plaza</w:t>
        </w:r>
      </w:hyperlink>
    </w:p>
    <w:p w:rsidR="00A83FDC" w:rsidRPr="0093342E" w:rsidRDefault="00A83FDC" w:rsidP="00A83FDC">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7" w:history="1">
        <w:r w:rsidRPr="0093342E">
          <w:rPr>
            <w:rStyle w:val="Hyperlink"/>
            <w:rFonts w:ascii="Arial" w:hAnsi="Arial" w:cs="Arial"/>
            <w:bCs/>
            <w:color w:val="auto"/>
            <w:sz w:val="24"/>
            <w:szCs w:val="24"/>
          </w:rPr>
          <w:t>IDEAS@uta.edu</w:t>
        </w:r>
      </w:hyperlink>
      <w:r w:rsidRPr="0093342E">
        <w:rPr>
          <w:rFonts w:ascii="Arial" w:hAnsi="Arial" w:cs="Arial"/>
          <w:bCs/>
          <w:sz w:val="24"/>
          <w:szCs w:val="24"/>
        </w:rPr>
        <w:t xml:space="preserve"> or call (817) 272-6593.</w:t>
      </w:r>
    </w:p>
    <w:p w:rsidR="00A83FDC" w:rsidRDefault="00A83FDC" w:rsidP="00A83FDC">
      <w:pPr>
        <w:rPr>
          <w:rFonts w:ascii="Arial" w:hAnsi="Arial" w:cs="Arial"/>
          <w:bCs/>
          <w:sz w:val="24"/>
          <w:szCs w:val="24"/>
        </w:rPr>
      </w:pPr>
      <w:r w:rsidRPr="0093342E">
        <w:rPr>
          <w:rFonts w:ascii="Arial" w:hAnsi="Arial" w:cs="Arial"/>
          <w:bCs/>
          <w:sz w:val="24"/>
          <w:szCs w:val="24"/>
        </w:rPr>
        <w:t xml:space="preserve"> </w:t>
      </w:r>
    </w:p>
    <w:p w:rsidR="00A83FDC" w:rsidRPr="0093342E" w:rsidRDefault="00A83FDC" w:rsidP="00A83FDC">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93342E">
          <w:rPr>
            <w:rStyle w:val="Hyperlink"/>
            <w:rFonts w:ascii="Arial" w:hAnsi="Arial" w:cs="Arial"/>
            <w:color w:val="auto"/>
            <w:sz w:val="24"/>
            <w:szCs w:val="24"/>
          </w:rPr>
          <w:t>www.uta.edu/owl</w:t>
        </w:r>
      </w:hyperlink>
      <w:r w:rsidRPr="0093342E">
        <w:rPr>
          <w:rFonts w:ascii="Arial" w:hAnsi="Arial" w:cs="Arial"/>
          <w:sz w:val="24"/>
          <w:szCs w:val="24"/>
        </w:rPr>
        <w:t xml:space="preserve"> for detailed information on all our programs and services.</w:t>
      </w:r>
    </w:p>
    <w:p w:rsidR="00E15D17" w:rsidRPr="00521B56" w:rsidRDefault="00E15D17" w:rsidP="00BB2BF2">
      <w:pPr>
        <w:rPr>
          <w:rFonts w:ascii="Arial" w:hAnsi="Arial" w:cs="Arial"/>
          <w:sz w:val="24"/>
          <w:szCs w:val="24"/>
        </w:rPr>
      </w:pPr>
    </w:p>
    <w:p w:rsidR="00BB2BF2" w:rsidRPr="00EC1E56" w:rsidRDefault="00BB2BF2" w:rsidP="00EC1E56">
      <w:pPr>
        <w:rPr>
          <w:rFonts w:ascii="Arial" w:hAnsi="Arial" w:cs="Arial"/>
          <w:sz w:val="24"/>
          <w:szCs w:val="24"/>
        </w:rPr>
      </w:pPr>
      <w:r w:rsidRPr="00EC1E56">
        <w:rPr>
          <w:rFonts w:ascii="Arial" w:hAnsi="Arial" w:cs="Arial"/>
          <w:b/>
          <w:sz w:val="24"/>
          <w:szCs w:val="24"/>
        </w:rPr>
        <w:lastRenderedPageBreak/>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sz w:val="24"/>
          <w:szCs w:val="24"/>
        </w:rPr>
      </w:pPr>
      <w:r w:rsidRPr="00EC1E56">
        <w:rPr>
          <w:rFonts w:ascii="Arial" w:hAnsi="Arial" w:cs="Arial"/>
          <w:b/>
          <w:sz w:val="24"/>
          <w:szCs w:val="24"/>
        </w:rPr>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lastRenderedPageBreak/>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30"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A83FDC" w:rsidRDefault="00A83FDC" w:rsidP="00A83FD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31" w:history="1">
        <w:r w:rsidRPr="00FA1453">
          <w:rPr>
            <w:rStyle w:val="Hyperlink"/>
          </w:rPr>
          <w:t>http://www.uta.edu/conhi/_doc/unurs/BSN_student_handbook.pdf</w:t>
        </w:r>
      </w:hyperlink>
      <w:r>
        <w:t>.</w:t>
      </w:r>
    </w:p>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32"/>
      <w:footerReference w:type="default" r:id="rId3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5A" w:rsidRDefault="00000D5A" w:rsidP="001B726F">
      <w:r>
        <w:separator/>
      </w:r>
    </w:p>
  </w:endnote>
  <w:endnote w:type="continuationSeparator" w:id="0">
    <w:p w:rsidR="00000D5A" w:rsidRDefault="00000D5A"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AF228E" w:rsidP="00DF55DB">
    <w:pPr>
      <w:pStyle w:val="Footer"/>
      <w:tabs>
        <w:tab w:val="clear" w:pos="9360"/>
        <w:tab w:val="right" w:pos="10080"/>
      </w:tabs>
      <w:rPr>
        <w:rFonts w:ascii="Arial" w:hAnsi="Arial" w:cs="Arial"/>
        <w:sz w:val="18"/>
        <w:szCs w:val="18"/>
      </w:rPr>
    </w:pPr>
    <w:r>
      <w:rPr>
        <w:rFonts w:ascii="Arial" w:hAnsi="Arial" w:cs="Arial"/>
        <w:sz w:val="18"/>
        <w:szCs w:val="18"/>
      </w:rPr>
      <w:t>N3261 sec 001 &amp; 002</w:t>
    </w:r>
    <w:r w:rsidR="00DF55DB">
      <w:rPr>
        <w:rFonts w:ascii="Arial" w:hAnsi="Arial" w:cs="Arial"/>
        <w:sz w:val="18"/>
        <w:szCs w:val="18"/>
      </w:rPr>
      <w:tab/>
    </w:r>
    <w:r w:rsidR="00DF55DB">
      <w:rPr>
        <w:rFonts w:ascii="Arial" w:hAnsi="Arial" w:cs="Arial"/>
        <w:sz w:val="18"/>
        <w:szCs w:val="18"/>
      </w:rPr>
      <w:tab/>
    </w:r>
    <w:r w:rsidR="00560401">
      <w:rPr>
        <w:rFonts w:ascii="Arial" w:hAnsi="Arial" w:cs="Arial"/>
        <w:sz w:val="18"/>
        <w:szCs w:val="18"/>
      </w:rPr>
      <w:t>SP 2017</w:t>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5A" w:rsidRDefault="00000D5A" w:rsidP="001B726F">
      <w:r>
        <w:separator/>
      </w:r>
    </w:p>
  </w:footnote>
  <w:footnote w:type="continuationSeparator" w:id="0">
    <w:p w:rsidR="00000D5A" w:rsidRDefault="00000D5A"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A922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0D5A"/>
    <w:rsid w:val="00006512"/>
    <w:rsid w:val="000108A1"/>
    <w:rsid w:val="00042209"/>
    <w:rsid w:val="000437B3"/>
    <w:rsid w:val="00057AF3"/>
    <w:rsid w:val="00072E4B"/>
    <w:rsid w:val="000B7319"/>
    <w:rsid w:val="0010031F"/>
    <w:rsid w:val="001100E7"/>
    <w:rsid w:val="00110BBA"/>
    <w:rsid w:val="00113398"/>
    <w:rsid w:val="00175657"/>
    <w:rsid w:val="00182A1F"/>
    <w:rsid w:val="001B726F"/>
    <w:rsid w:val="001C069C"/>
    <w:rsid w:val="001C14AE"/>
    <w:rsid w:val="001F56C9"/>
    <w:rsid w:val="002008FC"/>
    <w:rsid w:val="00231167"/>
    <w:rsid w:val="00246FA2"/>
    <w:rsid w:val="00255C06"/>
    <w:rsid w:val="00261EB2"/>
    <w:rsid w:val="00267DC6"/>
    <w:rsid w:val="002770DE"/>
    <w:rsid w:val="00294F99"/>
    <w:rsid w:val="002B24B8"/>
    <w:rsid w:val="002E5E7E"/>
    <w:rsid w:val="002F0494"/>
    <w:rsid w:val="002F0AF5"/>
    <w:rsid w:val="003650E5"/>
    <w:rsid w:val="00392736"/>
    <w:rsid w:val="003E79F9"/>
    <w:rsid w:val="00401BF5"/>
    <w:rsid w:val="004615C8"/>
    <w:rsid w:val="00466D68"/>
    <w:rsid w:val="00490972"/>
    <w:rsid w:val="004936FE"/>
    <w:rsid w:val="004D59B2"/>
    <w:rsid w:val="00521B56"/>
    <w:rsid w:val="0054256A"/>
    <w:rsid w:val="00547B0D"/>
    <w:rsid w:val="0055336D"/>
    <w:rsid w:val="00557A02"/>
    <w:rsid w:val="00560401"/>
    <w:rsid w:val="0058139F"/>
    <w:rsid w:val="00583103"/>
    <w:rsid w:val="005D233E"/>
    <w:rsid w:val="006053E1"/>
    <w:rsid w:val="00630C5D"/>
    <w:rsid w:val="00640F21"/>
    <w:rsid w:val="00661F5E"/>
    <w:rsid w:val="006A7FD7"/>
    <w:rsid w:val="006B1363"/>
    <w:rsid w:val="006D10EF"/>
    <w:rsid w:val="006D5765"/>
    <w:rsid w:val="006D7A64"/>
    <w:rsid w:val="00701C14"/>
    <w:rsid w:val="00710DD4"/>
    <w:rsid w:val="0073460F"/>
    <w:rsid w:val="00741DCF"/>
    <w:rsid w:val="0075370C"/>
    <w:rsid w:val="00770B3D"/>
    <w:rsid w:val="007A294A"/>
    <w:rsid w:val="007E3839"/>
    <w:rsid w:val="00800ADF"/>
    <w:rsid w:val="00837B38"/>
    <w:rsid w:val="00864736"/>
    <w:rsid w:val="008703A2"/>
    <w:rsid w:val="00893097"/>
    <w:rsid w:val="008B6DB0"/>
    <w:rsid w:val="00921294"/>
    <w:rsid w:val="00934FF9"/>
    <w:rsid w:val="00971771"/>
    <w:rsid w:val="00977C29"/>
    <w:rsid w:val="009A167E"/>
    <w:rsid w:val="009B3D6B"/>
    <w:rsid w:val="009E3788"/>
    <w:rsid w:val="009E7178"/>
    <w:rsid w:val="00A00B31"/>
    <w:rsid w:val="00A13F64"/>
    <w:rsid w:val="00A1780D"/>
    <w:rsid w:val="00A37F6F"/>
    <w:rsid w:val="00A430CC"/>
    <w:rsid w:val="00A470D9"/>
    <w:rsid w:val="00A83FDC"/>
    <w:rsid w:val="00A86148"/>
    <w:rsid w:val="00A94899"/>
    <w:rsid w:val="00A95CB6"/>
    <w:rsid w:val="00A9646C"/>
    <w:rsid w:val="00AA534F"/>
    <w:rsid w:val="00AB0C40"/>
    <w:rsid w:val="00AB2660"/>
    <w:rsid w:val="00AD3641"/>
    <w:rsid w:val="00AE403D"/>
    <w:rsid w:val="00AF228E"/>
    <w:rsid w:val="00B067B3"/>
    <w:rsid w:val="00B15438"/>
    <w:rsid w:val="00B24A67"/>
    <w:rsid w:val="00BA5C0C"/>
    <w:rsid w:val="00BB2BF2"/>
    <w:rsid w:val="00BD096A"/>
    <w:rsid w:val="00BD7A86"/>
    <w:rsid w:val="00BE1006"/>
    <w:rsid w:val="00C051C3"/>
    <w:rsid w:val="00C416CB"/>
    <w:rsid w:val="00CC3339"/>
    <w:rsid w:val="00CD57A3"/>
    <w:rsid w:val="00D21EB7"/>
    <w:rsid w:val="00D3700E"/>
    <w:rsid w:val="00D42AAB"/>
    <w:rsid w:val="00D57EBE"/>
    <w:rsid w:val="00D67980"/>
    <w:rsid w:val="00D95F95"/>
    <w:rsid w:val="00DA4398"/>
    <w:rsid w:val="00DA7297"/>
    <w:rsid w:val="00DC2B4E"/>
    <w:rsid w:val="00DD70A1"/>
    <w:rsid w:val="00DF1996"/>
    <w:rsid w:val="00DF55DB"/>
    <w:rsid w:val="00E00142"/>
    <w:rsid w:val="00E07185"/>
    <w:rsid w:val="00E15D17"/>
    <w:rsid w:val="00E22873"/>
    <w:rsid w:val="00E24772"/>
    <w:rsid w:val="00E30078"/>
    <w:rsid w:val="00E518D7"/>
    <w:rsid w:val="00E830FB"/>
    <w:rsid w:val="00E91C90"/>
    <w:rsid w:val="00E91E3F"/>
    <w:rsid w:val="00EC1E56"/>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 w:type="character" w:customStyle="1" w:styleId="apple-converted-space">
    <w:name w:val="apple-converted-space"/>
    <w:basedOn w:val="DefaultParagraphFont"/>
    <w:rsid w:val="00A17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 w:type="character" w:customStyle="1" w:styleId="apple-converted-space">
    <w:name w:val="apple-converted-space"/>
    <w:basedOn w:val="DefaultParagraphFont"/>
    <w:rsid w:val="00A1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hwoods@uta.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http://libguides.uta.edu/nursing"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conhi/_doc/unurs/BSN_student_handbook.pdf"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file:///C:\Users\mandell\AppData\Local\Temp\jmhood@uta.edu" TargetMode="External"/><Relationship Id="rId22" Type="http://schemas.openxmlformats.org/officeDocument/2006/relationships/hyperlink" Target="mailto:peace@uta.edu" TargetMode="External"/><Relationship Id="rId27" Type="http://schemas.openxmlformats.org/officeDocument/2006/relationships/hyperlink" Target="mailto:IDEA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27492</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2</cp:revision>
  <cp:lastPrinted>2013-08-26T21:25:00Z</cp:lastPrinted>
  <dcterms:created xsi:type="dcterms:W3CDTF">2017-01-11T15:29:00Z</dcterms:created>
  <dcterms:modified xsi:type="dcterms:W3CDTF">2017-01-11T15:29:00Z</dcterms:modified>
</cp:coreProperties>
</file>