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5" w:rsidRPr="00916FBD" w:rsidRDefault="00A706D5" w:rsidP="004D16B5">
      <w:pPr>
        <w:jc w:val="center"/>
        <w:rPr>
          <w:rFonts w:ascii="Arial" w:hAnsi="Arial" w:cs="Arial"/>
          <w:sz w:val="12"/>
          <w:szCs w:val="12"/>
        </w:rPr>
      </w:pPr>
      <w:bookmarkStart w:id="0" w:name="_GoBack"/>
      <w:bookmarkEnd w:id="0"/>
      <w:r>
        <w:rPr>
          <w:rFonts w:ascii="Arial" w:hAnsi="Arial" w:cs="Arial"/>
          <w:b/>
          <w:sz w:val="20"/>
          <w:szCs w:val="20"/>
        </w:rPr>
        <w:t>AO</w:t>
      </w:r>
      <w:r w:rsidR="004D16B5" w:rsidRPr="00916FBD">
        <w:rPr>
          <w:rFonts w:ascii="Arial" w:hAnsi="Arial" w:cs="Arial"/>
          <w:b/>
          <w:sz w:val="20"/>
          <w:szCs w:val="20"/>
        </w:rPr>
        <w:t xml:space="preserve"> 3325</w:t>
      </w:r>
      <w:r>
        <w:rPr>
          <w:rFonts w:ascii="Arial" w:hAnsi="Arial" w:cs="Arial"/>
          <w:b/>
          <w:sz w:val="20"/>
          <w:szCs w:val="20"/>
        </w:rPr>
        <w:t>-500 &amp; 503</w:t>
      </w:r>
      <w:r w:rsidR="004D16B5" w:rsidRPr="00916FBD">
        <w:rPr>
          <w:rFonts w:ascii="Arial" w:hAnsi="Arial" w:cs="Arial"/>
          <w:b/>
          <w:sz w:val="21"/>
          <w:szCs w:val="21"/>
        </w:rPr>
        <w:t xml:space="preserve"> Holistic Care of Older Adults</w:t>
      </w:r>
    </w:p>
    <w:p w:rsidR="004D16B5" w:rsidRPr="00916FBD" w:rsidRDefault="00A706D5" w:rsidP="004D16B5">
      <w:pPr>
        <w:jc w:val="center"/>
        <w:rPr>
          <w:rFonts w:ascii="Arial" w:hAnsi="Arial" w:cs="Arial"/>
          <w:sz w:val="21"/>
          <w:szCs w:val="21"/>
        </w:rPr>
      </w:pPr>
      <w:r>
        <w:rPr>
          <w:rFonts w:ascii="Arial" w:hAnsi="Arial" w:cs="Arial"/>
          <w:sz w:val="21"/>
          <w:szCs w:val="21"/>
        </w:rPr>
        <w:t>Spring 2017</w:t>
      </w:r>
      <w:r w:rsidR="00A20C96">
        <w:rPr>
          <w:rFonts w:ascii="Arial" w:hAnsi="Arial" w:cs="Arial"/>
          <w:sz w:val="21"/>
          <w:szCs w:val="21"/>
        </w:rPr>
        <w:t xml:space="preserve"> Start date </w:t>
      </w:r>
      <w:r>
        <w:rPr>
          <w:rFonts w:ascii="Arial" w:hAnsi="Arial" w:cs="Arial"/>
          <w:sz w:val="21"/>
          <w:szCs w:val="21"/>
        </w:rPr>
        <w:t>1/16/17</w:t>
      </w:r>
    </w:p>
    <w:p w:rsidR="004D16B5" w:rsidRPr="00916FBD" w:rsidRDefault="004D16B5" w:rsidP="004D16B5">
      <w:pPr>
        <w:rPr>
          <w:rFonts w:ascii="Arial" w:hAnsi="Arial" w:cs="Arial"/>
          <w:sz w:val="21"/>
          <w:szCs w:val="21"/>
        </w:rPr>
      </w:pPr>
    </w:p>
    <w:p w:rsidR="008A3434" w:rsidRDefault="004D16B5" w:rsidP="004D16B5">
      <w:pPr>
        <w:rPr>
          <w:rFonts w:ascii="Arial" w:hAnsi="Arial" w:cs="Arial"/>
          <w:b/>
          <w:sz w:val="21"/>
          <w:szCs w:val="21"/>
        </w:rPr>
      </w:pPr>
      <w:r w:rsidRPr="00916FBD">
        <w:rPr>
          <w:rFonts w:ascii="Arial" w:hAnsi="Arial" w:cs="Arial"/>
          <w:b/>
          <w:sz w:val="21"/>
          <w:szCs w:val="21"/>
        </w:rPr>
        <w:t xml:space="preserve">Instructor(s): </w:t>
      </w:r>
      <w:r w:rsidR="00A20C96">
        <w:rPr>
          <w:rFonts w:ascii="Arial" w:hAnsi="Arial" w:cs="Arial"/>
          <w:b/>
          <w:sz w:val="21"/>
          <w:szCs w:val="21"/>
        </w:rPr>
        <w:t>Sec 50</w:t>
      </w:r>
      <w:r w:rsidR="00A706D5">
        <w:rPr>
          <w:rFonts w:ascii="Arial" w:hAnsi="Arial" w:cs="Arial"/>
          <w:b/>
          <w:sz w:val="21"/>
          <w:szCs w:val="21"/>
        </w:rPr>
        <w:t>0- Janet McLean</w:t>
      </w:r>
      <w:r w:rsidR="00A20C96">
        <w:rPr>
          <w:rFonts w:ascii="Arial" w:hAnsi="Arial" w:cs="Arial"/>
          <w:b/>
          <w:sz w:val="21"/>
          <w:szCs w:val="21"/>
        </w:rPr>
        <w:t xml:space="preserve"> MSN, RN Assistant Clinical </w:t>
      </w:r>
      <w:proofErr w:type="gramStart"/>
      <w:r w:rsidR="00A20C96">
        <w:rPr>
          <w:rFonts w:ascii="Arial" w:hAnsi="Arial" w:cs="Arial"/>
          <w:b/>
          <w:sz w:val="21"/>
          <w:szCs w:val="21"/>
        </w:rPr>
        <w:t xml:space="preserve">Professor  </w:t>
      </w:r>
      <w:r w:rsidR="00A706D5">
        <w:rPr>
          <w:rFonts w:ascii="Arial" w:hAnsi="Arial" w:cs="Arial"/>
          <w:b/>
          <w:sz w:val="21"/>
          <w:szCs w:val="21"/>
        </w:rPr>
        <w:t>jmclean@ut</w:t>
      </w:r>
      <w:r w:rsidR="008A3434">
        <w:rPr>
          <w:rFonts w:ascii="Arial" w:hAnsi="Arial" w:cs="Arial"/>
          <w:b/>
          <w:sz w:val="21"/>
          <w:szCs w:val="21"/>
        </w:rPr>
        <w:t>a.edu</w:t>
      </w:r>
      <w:proofErr w:type="gramEnd"/>
      <w:r w:rsidR="00A20C96">
        <w:rPr>
          <w:rFonts w:ascii="Arial" w:hAnsi="Arial" w:cs="Arial"/>
          <w:b/>
          <w:sz w:val="21"/>
          <w:szCs w:val="21"/>
        </w:rPr>
        <w:t xml:space="preserve"> </w:t>
      </w:r>
    </w:p>
    <w:p w:rsidR="004D16B5" w:rsidRPr="00916FBD" w:rsidRDefault="00A20C96" w:rsidP="004D16B5">
      <w:pPr>
        <w:rPr>
          <w:rFonts w:ascii="Arial" w:hAnsi="Arial" w:cs="Arial"/>
          <w:b/>
          <w:sz w:val="21"/>
          <w:szCs w:val="21"/>
        </w:rPr>
      </w:pPr>
      <w:r>
        <w:rPr>
          <w:rFonts w:ascii="Arial" w:hAnsi="Arial" w:cs="Arial"/>
          <w:b/>
          <w:sz w:val="21"/>
          <w:szCs w:val="21"/>
        </w:rPr>
        <w:t xml:space="preserve">                       Sec 50</w:t>
      </w:r>
      <w:r w:rsidR="00A706D5">
        <w:rPr>
          <w:rFonts w:ascii="Arial" w:hAnsi="Arial" w:cs="Arial"/>
          <w:b/>
          <w:sz w:val="21"/>
          <w:szCs w:val="21"/>
        </w:rPr>
        <w:t>3</w:t>
      </w:r>
      <w:r>
        <w:rPr>
          <w:rFonts w:ascii="Arial" w:hAnsi="Arial" w:cs="Arial"/>
          <w:b/>
          <w:sz w:val="21"/>
          <w:szCs w:val="21"/>
        </w:rPr>
        <w:t xml:space="preserve">- </w:t>
      </w:r>
      <w:r w:rsidR="00A706D5">
        <w:rPr>
          <w:rFonts w:ascii="Arial" w:hAnsi="Arial" w:cs="Arial"/>
          <w:b/>
          <w:sz w:val="21"/>
          <w:szCs w:val="21"/>
        </w:rPr>
        <w:t xml:space="preserve">Tamara Andrews, </w:t>
      </w:r>
      <w:r w:rsidR="008A3434">
        <w:rPr>
          <w:rFonts w:ascii="Arial" w:hAnsi="Arial" w:cs="Arial"/>
          <w:b/>
          <w:sz w:val="21"/>
          <w:szCs w:val="21"/>
        </w:rPr>
        <w:t xml:space="preserve">  </w:t>
      </w:r>
      <w:proofErr w:type="spellStart"/>
      <w:r w:rsidR="008A3434">
        <w:rPr>
          <w:rFonts w:ascii="Arial" w:hAnsi="Arial" w:cs="Arial"/>
          <w:b/>
          <w:sz w:val="21"/>
          <w:szCs w:val="21"/>
        </w:rPr>
        <w:t>Ph.d</w:t>
      </w:r>
      <w:proofErr w:type="spellEnd"/>
      <w:r>
        <w:rPr>
          <w:rFonts w:ascii="Arial" w:hAnsi="Arial" w:cs="Arial"/>
          <w:b/>
          <w:sz w:val="21"/>
          <w:szCs w:val="21"/>
        </w:rPr>
        <w:t>, Assistant Clinical Professor</w:t>
      </w:r>
      <w:r w:rsidR="00A706D5">
        <w:rPr>
          <w:rFonts w:ascii="Arial" w:hAnsi="Arial" w:cs="Arial"/>
          <w:b/>
          <w:sz w:val="21"/>
          <w:szCs w:val="21"/>
        </w:rPr>
        <w:t xml:space="preserve"> tandrews@uta.edu</w:t>
      </w:r>
      <w:r>
        <w:rPr>
          <w:rFonts w:ascii="Arial" w:hAnsi="Arial" w:cs="Arial"/>
          <w:b/>
          <w:sz w:val="21"/>
          <w:szCs w:val="21"/>
        </w:rPr>
        <w:t xml:space="preserve">         </w:t>
      </w:r>
      <w:r w:rsidR="00A706D5">
        <w:rPr>
          <w:rFonts w:ascii="Arial" w:hAnsi="Arial" w:cs="Arial"/>
          <w:b/>
          <w:sz w:val="21"/>
          <w:szCs w:val="21"/>
        </w:rPr>
        <w:t xml:space="preserve">  </w:t>
      </w:r>
    </w:p>
    <w:p w:rsidR="00A706D5" w:rsidRDefault="00A706D5" w:rsidP="004D16B5">
      <w:pPr>
        <w:rPr>
          <w:rFonts w:asciiTheme="minorBidi" w:hAnsiTheme="minorBidi" w:cstheme="minorBidi"/>
          <w:b/>
          <w:sz w:val="21"/>
          <w:szCs w:val="21"/>
        </w:rPr>
      </w:pPr>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w:t>
      </w:r>
      <w:r w:rsidR="00A706D5">
        <w:rPr>
          <w:rFonts w:ascii="Arial" w:hAnsi="Arial" w:cs="Arial"/>
          <w:b/>
          <w:sz w:val="21"/>
          <w:szCs w:val="21"/>
        </w:rPr>
        <w:t>0</w:t>
      </w:r>
      <w:r w:rsidRPr="00916FBD">
        <w:rPr>
          <w:rFonts w:ascii="Arial" w:hAnsi="Arial" w:cs="Arial"/>
          <w:b/>
          <w:sz w:val="21"/>
          <w:szCs w:val="21"/>
        </w:rPr>
        <w:t xml:space="preserve"> and 50</w:t>
      </w:r>
      <w:r w:rsidR="00A706D5">
        <w:rPr>
          <w:rFonts w:ascii="Arial" w:hAnsi="Arial" w:cs="Arial"/>
          <w:b/>
          <w:sz w:val="21"/>
          <w:szCs w:val="21"/>
        </w:rPr>
        <w:t>3</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r w:rsidRPr="00916FBD">
        <w:rPr>
          <w:rFonts w:ascii="Arial" w:eastAsia="Times New Roman" w:hAnsi="Arial" w:cs="Arial"/>
          <w:lang w:eastAsia="ar-SA"/>
        </w:rPr>
        <w:t xml:space="preserve">Introduction </w:t>
      </w:r>
      <w:r w:rsidR="00A20C96">
        <w:rPr>
          <w:rFonts w:ascii="Arial" w:eastAsia="Times New Roman" w:hAnsi="Arial" w:cs="Arial"/>
          <w:lang w:eastAsia="ar-SA"/>
        </w:rPr>
        <w:t xml:space="preserve"> </w:t>
      </w:r>
      <w:r w:rsidRPr="00916FBD">
        <w:rPr>
          <w:rFonts w:ascii="Arial" w:eastAsia="Times New Roman" w:hAnsi="Arial" w:cs="Arial"/>
          <w:lang w:eastAsia="ar-SA"/>
        </w:rPr>
        <w:t xml:space="preserve"> to principles and standards </w:t>
      </w:r>
      <w:proofErr w:type="gramStart"/>
      <w:r w:rsidRPr="00916FBD">
        <w:rPr>
          <w:rFonts w:ascii="Arial" w:eastAsia="Times New Roman" w:hAnsi="Arial" w:cs="Arial"/>
          <w:lang w:eastAsia="ar-SA"/>
        </w:rPr>
        <w:t xml:space="preserve">of  </w:t>
      </w:r>
      <w:proofErr w:type="spellStart"/>
      <w:r w:rsidRPr="00916FBD">
        <w:rPr>
          <w:rFonts w:ascii="Arial" w:eastAsia="Times New Roman" w:hAnsi="Arial" w:cs="Arial"/>
          <w:lang w:eastAsia="ar-SA"/>
        </w:rPr>
        <w:t>gerontologic</w:t>
      </w:r>
      <w:proofErr w:type="spellEnd"/>
      <w:proofErr w:type="gramEnd"/>
      <w:r w:rsidRPr="00916FBD">
        <w:rPr>
          <w:rFonts w:ascii="Arial" w:eastAsia="Times New Roman" w:hAnsi="Arial" w:cs="Arial"/>
          <w:lang w:eastAsia="ar-SA"/>
        </w:rPr>
        <w:t xml:space="preserve">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proofErr w:type="gramStart"/>
      <w:r w:rsidRPr="00916FBD">
        <w:rPr>
          <w:rFonts w:ascii="Arial" w:eastAsia="Times New Roman" w:hAnsi="Arial" w:cs="Arial"/>
          <w:lang w:eastAsia="ar-SA"/>
        </w:rPr>
        <w:t>Registered   nurse students only.</w:t>
      </w:r>
      <w:proofErr w:type="gramEnd"/>
      <w:r w:rsidRPr="00916FBD">
        <w:rPr>
          <w:rFonts w:ascii="Arial" w:eastAsia="Times New Roman" w:hAnsi="Arial" w:cs="Arial"/>
          <w:lang w:eastAsia="ar-SA"/>
        </w:rPr>
        <w:t xml:space="preserve"> </w:t>
      </w:r>
    </w:p>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 xml:space="preserve">Identify actual or potential mistreatment (physical, mental, or financial abuse, and/or </w:t>
            </w:r>
            <w:proofErr w:type="spellStart"/>
            <w:r w:rsidRPr="0052151C">
              <w:rPr>
                <w:rFonts w:ascii="Arial" w:eastAsia="Times New Roman" w:hAnsi="Arial" w:cs="Arial"/>
                <w:sz w:val="24"/>
                <w:szCs w:val="24"/>
                <w:lang w:eastAsia="en-US"/>
              </w:rPr>
              <w:t>self  neglect</w:t>
            </w:r>
            <w:proofErr w:type="spellEnd"/>
            <w:r w:rsidRPr="0052151C">
              <w:rPr>
                <w:rFonts w:ascii="Arial" w:eastAsia="Times New Roman" w:hAnsi="Arial" w:cs="Arial"/>
                <w:sz w:val="24"/>
                <w:szCs w:val="24"/>
                <w:lang w:eastAsia="en-US"/>
              </w:rPr>
              <w: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Facilitate ethical, non-coercive decision making by older adults and /or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w:t>
            </w:r>
            <w:proofErr w:type="spellStart"/>
            <w:r w:rsidRPr="0052151C">
              <w:rPr>
                <w:rFonts w:ascii="Arial" w:eastAsia="Times New Roman" w:hAnsi="Arial" w:cs="Arial"/>
                <w:sz w:val="24"/>
                <w:szCs w:val="24"/>
                <w:lang w:eastAsia="en-US"/>
              </w:rPr>
              <w:t>eg</w:t>
            </w:r>
            <w:proofErr w:type="spellEnd"/>
            <w:r w:rsidRPr="0052151C">
              <w:rPr>
                <w:rFonts w:ascii="Arial" w:eastAsia="Times New Roman" w:hAnsi="Arial" w:cs="Arial"/>
                <w:sz w:val="24"/>
                <w:szCs w:val="24"/>
                <w:lang w:eastAsia="en-US"/>
              </w:rPr>
              <w:t>.,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w:t>
      </w:r>
      <w:proofErr w:type="gramStart"/>
      <w:r w:rsidRPr="0052151C">
        <w:rPr>
          <w:rFonts w:ascii="Arial" w:eastAsia="Times New Roman" w:hAnsi="Arial" w:cs="Arial"/>
          <w:sz w:val="24"/>
          <w:szCs w:val="24"/>
          <w:lang w:eastAsia="ar-SA"/>
        </w:rPr>
        <w:t>textbook ,</w:t>
      </w:r>
      <w:proofErr w:type="gramEnd"/>
      <w:r w:rsidRPr="0052151C">
        <w:rPr>
          <w:rFonts w:ascii="Arial" w:eastAsia="Times New Roman" w:hAnsi="Arial" w:cs="Arial"/>
          <w:sz w:val="24"/>
          <w:szCs w:val="24"/>
          <w:lang w:eastAsia="ar-SA"/>
        </w:rPr>
        <w:t xml:space="preserve">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r w:rsidRPr="0052151C">
        <w:rPr>
          <w:rFonts w:ascii="Arial" w:eastAsia="Times New Roman" w:hAnsi="Arial" w:cs="Arial"/>
          <w:kern w:val="36"/>
          <w:lang w:eastAsia="en-US"/>
        </w:rPr>
        <w:t xml:space="preserve">Touhy, T &amp; Jett, K. </w:t>
      </w:r>
      <w:proofErr w:type="spellStart"/>
      <w:r w:rsidRPr="0052151C">
        <w:rPr>
          <w:rFonts w:ascii="Arial" w:eastAsia="Times New Roman" w:hAnsi="Arial" w:cs="Arial"/>
          <w:kern w:val="36"/>
          <w:lang w:eastAsia="en-US"/>
        </w:rPr>
        <w:t>Ebersole</w:t>
      </w:r>
      <w:proofErr w:type="spellEnd"/>
      <w:r w:rsidRPr="0052151C">
        <w:rPr>
          <w:rFonts w:ascii="Arial" w:eastAsia="Times New Roman" w:hAnsi="Arial" w:cs="Arial"/>
          <w:kern w:val="36"/>
          <w:lang w:eastAsia="en-US"/>
        </w:rPr>
        <w:t xml:space="preserve"> and Hess' </w:t>
      </w:r>
      <w:proofErr w:type="spellStart"/>
      <w:r w:rsidRPr="0052151C">
        <w:rPr>
          <w:rFonts w:ascii="Arial" w:eastAsia="Times New Roman" w:hAnsi="Arial" w:cs="Arial"/>
          <w:kern w:val="36"/>
          <w:lang w:eastAsia="en-US"/>
        </w:rPr>
        <w:t>Gerontological</w:t>
      </w:r>
      <w:proofErr w:type="spellEnd"/>
      <w:r w:rsidRPr="0052151C">
        <w:rPr>
          <w:rFonts w:ascii="Arial" w:eastAsia="Times New Roman" w:hAnsi="Arial" w:cs="Arial"/>
          <w:kern w:val="36"/>
          <w:lang w:eastAsia="en-US"/>
        </w:rPr>
        <w:t xml:space="preserve">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faculty believes in personal responsibility for learning. Every effort will be made to make your experience interesting and </w:t>
      </w:r>
      <w:proofErr w:type="gramStart"/>
      <w:r w:rsidRPr="004C34BD">
        <w:rPr>
          <w:rFonts w:ascii="Arial" w:eastAsia="Times New Roman" w:hAnsi="Arial" w:cs="Arial"/>
          <w:lang w:eastAsia="ar-SA"/>
        </w:rPr>
        <w:t>enjoyable,</w:t>
      </w:r>
      <w:proofErr w:type="gramEnd"/>
      <w:r w:rsidRPr="004C34BD">
        <w:rPr>
          <w:rFonts w:ascii="Arial" w:eastAsia="Times New Roman" w:hAnsi="Arial" w:cs="Arial"/>
          <w:lang w:eastAsia="ar-SA"/>
        </w:rPr>
        <w:t xml:space="preserv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Responsibilities</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55819" w:rsidRDefault="00455819">
      <w:pPr>
        <w:spacing w:after="20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br w:type="page"/>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lastRenderedPageBreak/>
        <w:t>UTA Information</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8" w:history="1">
        <w:r w:rsidR="00A706D5" w:rsidRPr="00FE5283">
          <w:rPr>
            <w:rStyle w:val="Hyperlink"/>
            <w:rFonts w:ascii="Arial" w:eastAsia="Times New Roman" w:hAnsi="Arial" w:cs="Arial"/>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Each student will conduct an interview with an Elder for the purpose of assisting that person in performing a </w:t>
      </w:r>
      <w:r w:rsidRPr="0084331E">
        <w:rPr>
          <w:rFonts w:ascii="Arial" w:eastAsia="Times New Roman" w:hAnsi="Arial" w:cs="Arial"/>
          <w:b/>
          <w:lang w:eastAsia="ar-SA"/>
        </w:rPr>
        <w:t>Life Review</w:t>
      </w:r>
      <w:r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Discussion Boards</w:t>
      </w:r>
    </w:p>
    <w:p w:rsidR="004D16B5" w:rsidRPr="00242206" w:rsidRDefault="004D16B5" w:rsidP="004D16B5">
      <w:pPr>
        <w:widowControl w:val="0"/>
        <w:suppressAutoHyphens/>
        <w:spacing w:after="200"/>
        <w:rPr>
          <w:rFonts w:ascii="Arial" w:eastAsia="Times New Roman" w:hAnsi="Arial" w:cs="Arial"/>
          <w:b/>
          <w:color w:val="FF0000"/>
          <w:u w:val="single"/>
          <w:lang w:eastAsia="ar-SA"/>
        </w:rPr>
      </w:pPr>
      <w:r w:rsidRPr="0084331E">
        <w:rPr>
          <w:rFonts w:ascii="Arial" w:eastAsia="Times New Roman" w:hAnsi="Arial" w:cs="Arial"/>
          <w:lang w:eastAsia="ar-SA"/>
        </w:rPr>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 xml:space="preserve">As nurses, we are guided by a set of practice expectations.  A very important part of these </w:t>
      </w:r>
      <w:r w:rsidRPr="0084331E">
        <w:rPr>
          <w:rFonts w:ascii="Arial" w:eastAsia="Times New Roman" w:hAnsi="Arial" w:cs="Arial"/>
          <w:bCs/>
          <w:lang w:eastAsia="ar-SA"/>
        </w:rPr>
        <w:lastRenderedPageBreak/>
        <w:t>expectations is appropriate moral and ethical behavior. Therefore, it is expected that you will work alone and without notes to take each of the online quizzes</w:t>
      </w:r>
      <w:proofErr w:type="gramStart"/>
      <w:r w:rsidRPr="0084331E">
        <w:rPr>
          <w:rFonts w:ascii="Arial" w:eastAsia="Times New Roman" w:hAnsi="Arial" w:cs="Arial"/>
          <w:bCs/>
          <w:lang w:eastAsia="ar-SA"/>
        </w:rPr>
        <w:t>..</w:t>
      </w:r>
      <w:proofErr w:type="gramEnd"/>
      <w:r w:rsidRPr="0084331E">
        <w:rPr>
          <w:rFonts w:ascii="Arial" w:eastAsia="Times New Roman" w:hAnsi="Arial" w:cs="Arial"/>
          <w:bCs/>
          <w:lang w:eastAsia="ar-SA"/>
        </w:rPr>
        <w:t xml:space="preserve">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proofErr w:type="gramStart"/>
      <w:r w:rsidRPr="0084331E">
        <w:rPr>
          <w:rFonts w:ascii="Arial" w:eastAsia="Times New Roman" w:hAnsi="Arial" w:cs="Arial"/>
          <w:lang w:eastAsia="ar-SA"/>
        </w:rPr>
        <w:t>minimum</w:t>
      </w:r>
      <w:proofErr w:type="gramEnd"/>
      <w:r w:rsidRPr="0084331E">
        <w:rPr>
          <w:rFonts w:ascii="Arial" w:eastAsia="Times New Roman" w:hAnsi="Arial" w:cs="Arial"/>
          <w:lang w:eastAsia="ar-SA"/>
        </w:rPr>
        <w:t xml:space="preserve">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lastRenderedPageBreak/>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9930C3" w:rsidRPr="009930C3" w:rsidTr="00D1465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b/>
                <w:color w:val="FFFFFF"/>
                <w:szCs w:val="24"/>
                <w:lang w:eastAsia="ar-SA"/>
              </w:rPr>
            </w:pPr>
            <w:r w:rsidRPr="009930C3">
              <w:rPr>
                <w:rFonts w:ascii="Arial" w:eastAsia="Times New Roman" w:hAnsi="Arial" w:cs="Arial"/>
                <w:b/>
                <w:bCs/>
                <w:color w:val="FFFFFF"/>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color w:val="FFFFFF"/>
                <w:szCs w:val="24"/>
                <w:lang w:eastAsia="ar-SA"/>
              </w:rPr>
            </w:pPr>
            <w:r w:rsidRPr="009930C3">
              <w:rPr>
                <w:rFonts w:ascii="Arial" w:eastAsia="Times New Roman" w:hAnsi="Arial" w:cs="Arial"/>
                <w:b/>
                <w:bCs/>
                <w:color w:val="FFFFFF"/>
                <w:lang w:eastAsia="ar-SA"/>
              </w:rPr>
              <w:t>%</w:t>
            </w:r>
          </w:p>
        </w:tc>
      </w:tr>
      <w:tr w:rsidR="009930C3" w:rsidRPr="009930C3" w:rsidTr="00D1465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widowControl w:val="0"/>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szCs w:val="18"/>
                <w:lang w:eastAsia="ar-SA"/>
              </w:rPr>
            </w:pPr>
            <w:r w:rsidRPr="009930C3">
              <w:rPr>
                <w:rFonts w:ascii="Arial" w:eastAsia="Times New Roman" w:hAnsi="Arial" w:cs="Arial"/>
                <w:lang w:eastAsia="ar-SA"/>
              </w:rPr>
              <w:t>(5 at 5% each)</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Participation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Self-Assessment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Discussions (5) </w:t>
            </w:r>
          </w:p>
          <w:p w:rsidR="009930C3" w:rsidRPr="009930C3" w:rsidRDefault="009930C3" w:rsidP="009930C3">
            <w:pPr>
              <w:spacing w:before="100" w:after="200"/>
              <w:ind w:left="720"/>
              <w:rPr>
                <w:rFonts w:ascii="Arial" w:eastAsia="Times New Roman" w:hAnsi="Arial" w:cs="Arial"/>
                <w:b/>
                <w:color w:val="FFFFFF"/>
                <w:lang w:eastAsia="ar-SA"/>
              </w:rPr>
            </w:pPr>
          </w:p>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Life Review: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Schedule Form,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Ego Integrity Research,</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Reflection</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Consent Form</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Life Review Analysis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Reflections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Immobility and Functional Decline</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b/>
                <w:color w:val="FFFFFF"/>
                <w:lang w:eastAsia="ar-SA"/>
              </w:rPr>
              <w:t>5555555555533</w:t>
            </w:r>
            <w:r w:rsidRPr="009930C3">
              <w:rPr>
                <w:rFonts w:ascii="Arial" w:eastAsia="Times New Roman" w:hAnsi="Arial" w:cs="Arial"/>
                <w:color w:val="FFFFFF"/>
                <w:lang w:eastAsia="ar-SA"/>
              </w:rPr>
              <w:t>55555555551</w:t>
            </w:r>
          </w:p>
          <w:p w:rsidR="009930C3" w:rsidRPr="009930C3" w:rsidRDefault="009930C3" w:rsidP="009930C3">
            <w:pPr>
              <w:spacing w:before="100" w:after="200"/>
              <w:rPr>
                <w:rFonts w:ascii="Arial" w:eastAsia="Times New Roman" w:hAnsi="Arial" w:cs="Arial"/>
                <w:lang w:eastAsia="ar-SA"/>
              </w:rPr>
            </w:pPr>
            <w:r w:rsidRPr="009930C3">
              <w:rPr>
                <w:rFonts w:ascii="Arial" w:eastAsia="Times New Roman" w:hAnsi="Arial" w:cs="Arial"/>
                <w:lang w:eastAsia="ar-SA"/>
              </w:rPr>
              <w:t xml:space="preserve">                      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(5 at 5% each)</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1111551</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25</w:t>
            </w:r>
            <w:r w:rsidRPr="009930C3">
              <w:rPr>
                <w:rFonts w:ascii="Arial" w:eastAsia="Times New Roman" w:hAnsi="Arial" w:cs="Arial"/>
                <w:lang w:eastAsia="ar-SA"/>
              </w:rPr>
              <w:t>2%</w:t>
            </w:r>
            <w:r w:rsidRPr="009930C3">
              <w:rPr>
                <w:rFonts w:ascii="Arial" w:eastAsia="Times New Roman" w:hAnsi="Arial" w:cs="Arial"/>
                <w:color w:val="FFFFFF"/>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7%</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w:t>
            </w:r>
            <w:r w:rsidRPr="009930C3">
              <w:rPr>
                <w:rFonts w:ascii="Arial" w:eastAsia="Times New Roman" w:hAnsi="Arial" w:cs="Arial"/>
                <w:lang w:eastAsia="ar-SA"/>
              </w:rPr>
              <w:t>2%</w:t>
            </w:r>
            <w:r w:rsidRPr="009930C3">
              <w:rPr>
                <w:rFonts w:ascii="Arial" w:eastAsia="Times New Roman" w:hAnsi="Arial" w:cs="Arial"/>
                <w:color w:val="FFFFFF"/>
                <w:lang w:eastAsia="ar-SA"/>
              </w:rPr>
              <w:t>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20%</w:t>
            </w:r>
          </w:p>
          <w:p w:rsidR="009930C3" w:rsidRPr="009930C3" w:rsidRDefault="009930C3" w:rsidP="009930C3">
            <w:pPr>
              <w:spacing w:before="100" w:after="200"/>
              <w:jc w:val="center"/>
              <w:rPr>
                <w:rFonts w:ascii="Arial" w:eastAsia="Times New Roman" w:hAnsi="Arial" w:cs="Arial"/>
                <w:lang w:eastAsia="ar-SA"/>
              </w:rPr>
            </w:pP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b/>
                <w:bCs/>
                <w:lang w:eastAsia="ar-SA"/>
              </w:rPr>
            </w:pPr>
            <w:r w:rsidRPr="009930C3">
              <w:rPr>
                <w:rFonts w:ascii="Arial" w:eastAsia="Times New Roman" w:hAnsi="Arial" w:cs="Arial"/>
                <w:b/>
                <w:bCs/>
                <w:lang w:eastAsia="ar-SA"/>
              </w:rPr>
              <w:t>100%</w:t>
            </w:r>
          </w:p>
        </w:tc>
      </w:tr>
    </w:tbl>
    <w:p w:rsidR="009930C3" w:rsidRPr="00916FBD" w:rsidRDefault="009930C3"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Pr="00A20C96" w:rsidRDefault="00A20C96" w:rsidP="004D16B5">
      <w:pPr>
        <w:widowControl w:val="0"/>
        <w:suppressAutoHyphens/>
        <w:spacing w:after="200"/>
        <w:rPr>
          <w:rFonts w:ascii="Arial" w:eastAsia="Times New Roman" w:hAnsi="Arial" w:cs="Arial"/>
          <w:b/>
          <w:lang w:eastAsia="ar-SA"/>
        </w:rPr>
      </w:pPr>
      <w:r w:rsidRPr="00A20C96">
        <w:rPr>
          <w:rFonts w:ascii="Arial" w:eastAsia="Times New Roman" w:hAnsi="Arial" w:cs="Arial"/>
          <w:b/>
          <w:lang w:eastAsia="ar-SA"/>
        </w:rPr>
        <w:t>Late submissions</w:t>
      </w:r>
    </w:p>
    <w:p w:rsidR="00242206" w:rsidRDefault="00A20C96" w:rsidP="00242206">
      <w:pPr>
        <w:widowControl w:val="0"/>
        <w:suppressAutoHyphens/>
        <w:spacing w:after="200"/>
        <w:rPr>
          <w:rFonts w:ascii="Arial" w:eastAsia="Times New Roman" w:hAnsi="Arial" w:cs="Arial"/>
          <w:b/>
          <w:color w:val="FF0000"/>
          <w:lang w:eastAsia="ar-SA"/>
        </w:rPr>
      </w:pPr>
      <w:r>
        <w:rPr>
          <w:rFonts w:ascii="Arial" w:eastAsia="Times New Roman" w:hAnsi="Arial" w:cs="Arial"/>
          <w:lang w:eastAsia="ar-SA"/>
        </w:rPr>
        <w:t>A late penalty of 5 points per day will be assessed on any assignments that are submitted after the stated due date and time unless other arrangements have been made in advance with the faculty.</w:t>
      </w:r>
      <w:r w:rsidR="00242206" w:rsidRPr="00242206">
        <w:rPr>
          <w:rFonts w:ascii="Arial" w:eastAsia="Times New Roman" w:hAnsi="Arial" w:cs="Arial"/>
          <w:b/>
          <w:color w:val="FF0000"/>
          <w:lang w:eastAsia="ar-SA"/>
        </w:rPr>
        <w:t xml:space="preserve"> The late penalty may be applied to the </w:t>
      </w:r>
      <w:r w:rsidR="00242206">
        <w:rPr>
          <w:rFonts w:ascii="Arial" w:eastAsia="Times New Roman" w:hAnsi="Arial" w:cs="Arial"/>
          <w:b/>
          <w:color w:val="FF0000"/>
          <w:lang w:eastAsia="ar-SA"/>
        </w:rPr>
        <w:t>initial</w:t>
      </w:r>
      <w:r w:rsidR="00242206" w:rsidRPr="00242206">
        <w:rPr>
          <w:rFonts w:ascii="Arial" w:eastAsia="Times New Roman" w:hAnsi="Arial" w:cs="Arial"/>
          <w:b/>
          <w:color w:val="FF0000"/>
          <w:lang w:eastAsia="ar-SA"/>
        </w:rPr>
        <w:t xml:space="preserve"> </w:t>
      </w:r>
      <w:r w:rsidR="00242206">
        <w:rPr>
          <w:rFonts w:ascii="Arial" w:eastAsia="Times New Roman" w:hAnsi="Arial" w:cs="Arial"/>
          <w:b/>
          <w:color w:val="FF0000"/>
          <w:lang w:eastAsia="ar-SA"/>
        </w:rPr>
        <w:t xml:space="preserve">discussion board </w:t>
      </w:r>
      <w:r w:rsidR="00242206" w:rsidRPr="00242206">
        <w:rPr>
          <w:rFonts w:ascii="Arial" w:eastAsia="Times New Roman" w:hAnsi="Arial" w:cs="Arial"/>
          <w:b/>
          <w:color w:val="FF0000"/>
          <w:lang w:eastAsia="ar-SA"/>
        </w:rPr>
        <w:t>posting but no late submissions will be accepted to the discussion boards</w:t>
      </w:r>
      <w:r w:rsidR="00242206">
        <w:rPr>
          <w:rFonts w:ascii="Arial" w:eastAsia="Times New Roman" w:hAnsi="Arial" w:cs="Arial"/>
          <w:b/>
          <w:color w:val="FF0000"/>
          <w:lang w:eastAsia="ar-SA"/>
        </w:rPr>
        <w:t xml:space="preserve"> after the Saturday due date</w:t>
      </w:r>
      <w:r w:rsidR="00242206" w:rsidRPr="00242206">
        <w:rPr>
          <w:rFonts w:ascii="Arial" w:eastAsia="Times New Roman" w:hAnsi="Arial" w:cs="Arial"/>
          <w:b/>
          <w:color w:val="FF0000"/>
          <w:lang w:eastAsia="ar-SA"/>
        </w:rPr>
        <w:t>.</w:t>
      </w:r>
    </w:p>
    <w:p w:rsidR="00242206" w:rsidRPr="00242206" w:rsidRDefault="00242206" w:rsidP="00242206">
      <w:pPr>
        <w:widowControl w:val="0"/>
        <w:suppressAutoHyphens/>
        <w:spacing w:after="200"/>
        <w:rPr>
          <w:rFonts w:ascii="Arial" w:eastAsia="Times New Roman" w:hAnsi="Arial" w:cs="Arial"/>
          <w:b/>
          <w:color w:val="FF0000"/>
          <w:u w:val="single"/>
          <w:lang w:eastAsia="ar-SA"/>
        </w:rPr>
      </w:pPr>
      <w:r>
        <w:rPr>
          <w:rFonts w:ascii="Arial" w:eastAsia="Times New Roman" w:hAnsi="Arial" w:cs="Arial"/>
          <w:b/>
          <w:color w:val="FF0000"/>
          <w:lang w:eastAsia="ar-SA"/>
        </w:rPr>
        <w:t>Once the course has closed, no late submissions will be accepted and no incomplete grades will be awarded.</w:t>
      </w:r>
    </w:p>
    <w:p w:rsidR="00A20C96" w:rsidRPr="00916FBD" w:rsidRDefault="00242206" w:rsidP="004D16B5">
      <w:pPr>
        <w:widowControl w:val="0"/>
        <w:suppressAutoHyphens/>
        <w:spacing w:after="200"/>
        <w:rPr>
          <w:rFonts w:ascii="Arial" w:eastAsia="Times New Roman" w:hAnsi="Arial" w:cs="Arial"/>
          <w:lang w:eastAsia="ar-SA"/>
        </w:rPr>
      </w:pPr>
      <w:r>
        <w:rPr>
          <w:rFonts w:ascii="Arial" w:eastAsia="Times New Roman" w:hAnsi="Arial" w:cs="Arial"/>
          <w:lang w:eastAsia="ar-SA"/>
        </w:rPr>
        <w:t xml:space="preserve"> </w:t>
      </w: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9"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10"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Faculty members reserve the right to make photocopies of student written materials for 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55819" w:rsidRDefault="00455819">
      <w:pPr>
        <w:spacing w:after="200" w:line="276" w:lineRule="auto"/>
        <w:rPr>
          <w:rFonts w:ascii="Arial" w:eastAsia="Times New Roman" w:hAnsi="Arial" w:cs="Arial"/>
          <w:lang w:eastAsia="ar-SA"/>
        </w:rPr>
      </w:pPr>
      <w:r>
        <w:rPr>
          <w:rFonts w:ascii="Arial" w:eastAsia="Times New Roman" w:hAnsi="Arial" w:cs="Arial"/>
          <w:lang w:eastAsia="ar-SA"/>
        </w:rPr>
        <w:br w:type="page"/>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1"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2"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3"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w:t>
      </w:r>
      <w:proofErr w:type="spellStart"/>
      <w:r w:rsidRPr="00916FBD">
        <w:rPr>
          <w:rFonts w:ascii="Arial" w:hAnsi="Arial" w:cs="Arial"/>
          <w:sz w:val="21"/>
          <w:szCs w:val="21"/>
        </w:rPr>
        <w:t>MyMav</w:t>
      </w:r>
      <w:proofErr w:type="spellEnd"/>
      <w:r w:rsidRPr="00916FBD">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Students will not be automatically dropped for 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4"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w:t>
      </w:r>
      <w:r w:rsidRPr="00916FBD">
        <w:rPr>
          <w:rFonts w:ascii="Arial" w:hAnsi="Arial" w:cs="Arial"/>
          <w:sz w:val="21"/>
          <w:szCs w:val="21"/>
        </w:rPr>
        <w:lastRenderedPageBreak/>
        <w:t xml:space="preserve">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r w:rsidRPr="00916FBD">
        <w:rPr>
          <w:rFonts w:ascii="Arial" w:hAnsi="Arial" w:cs="Arial"/>
          <w:sz w:val="21"/>
          <w:szCs w:val="21"/>
        </w:rPr>
        <w:t xml:space="preserve">  </w:t>
      </w:r>
      <w:hyperlink r:id="rId15" w:history="1">
        <w:r w:rsidRPr="00916FBD">
          <w:rPr>
            <w:rStyle w:val="Hyperlink"/>
            <w:rFonts w:ascii="Arial" w:hAnsi="Arial" w:cs="Arial"/>
            <w:color w:val="auto"/>
            <w:sz w:val="21"/>
            <w:szCs w:val="21"/>
          </w:rPr>
          <w:t>www.uta.edu/disability</w:t>
        </w:r>
      </w:hyperlink>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6"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7"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455819" w:rsidRDefault="004D16B5" w:rsidP="004D16B5">
      <w:pPr>
        <w:rPr>
          <w:rFonts w:ascii="Arial" w:hAnsi="Arial" w:cs="Arial"/>
          <w:i/>
          <w:iCs/>
        </w:rPr>
      </w:pPr>
      <w:r w:rsidRPr="00455819">
        <w:rPr>
          <w:rFonts w:ascii="Arial" w:hAnsi="Arial" w:cs="Arial"/>
          <w:b/>
          <w:bCs/>
        </w:rPr>
        <w:t>Non-Discrimination Policy:</w:t>
      </w:r>
      <w:r w:rsidRPr="00455819">
        <w:rPr>
          <w:rFonts w:ascii="Arial" w:hAnsi="Arial" w:cs="Arial"/>
        </w:rPr>
        <w:t xml:space="preserve"> </w:t>
      </w:r>
      <w:r w:rsidRPr="00455819">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455819">
          <w:rPr>
            <w:rStyle w:val="Hyperlink"/>
            <w:rFonts w:ascii="Arial" w:hAnsi="Arial" w:cs="Arial"/>
            <w:i/>
            <w:iCs/>
            <w:color w:val="auto"/>
          </w:rPr>
          <w:t>uta.edu/</w:t>
        </w:r>
        <w:proofErr w:type="spellStart"/>
        <w:r w:rsidRPr="00455819">
          <w:rPr>
            <w:rStyle w:val="Hyperlink"/>
            <w:rFonts w:ascii="Arial" w:hAnsi="Arial" w:cs="Arial"/>
            <w:i/>
            <w:iCs/>
            <w:color w:val="auto"/>
          </w:rPr>
          <w:t>eos</w:t>
        </w:r>
        <w:proofErr w:type="spellEnd"/>
      </w:hyperlink>
      <w:r w:rsidRPr="00455819">
        <w:rPr>
          <w:rFonts w:ascii="Arial" w:hAnsi="Arial" w:cs="Arial"/>
          <w:i/>
          <w:iCs/>
        </w:rPr>
        <w:t>.</w:t>
      </w:r>
    </w:p>
    <w:p w:rsidR="004D16B5" w:rsidRPr="00455819" w:rsidRDefault="004D16B5" w:rsidP="004D16B5">
      <w:pPr>
        <w:rPr>
          <w:rFonts w:ascii="Arial" w:hAnsi="Arial" w:cs="Arial"/>
          <w:i/>
          <w:iCs/>
        </w:rPr>
      </w:pPr>
    </w:p>
    <w:p w:rsidR="004D16B5" w:rsidRPr="00455819" w:rsidRDefault="004D16B5" w:rsidP="004D16B5">
      <w:pPr>
        <w:rPr>
          <w:rFonts w:ascii="Arial" w:eastAsia="Times New Roman" w:hAnsi="Arial" w:cs="Arial"/>
          <w:lang w:eastAsia="en-US"/>
        </w:rPr>
      </w:pPr>
      <w:r w:rsidRPr="00455819">
        <w:rPr>
          <w:rFonts w:ascii="Arial" w:hAnsi="Arial" w:cs="Arial"/>
          <w:b/>
          <w:iCs/>
        </w:rPr>
        <w:t xml:space="preserve">Title IX Policy: </w:t>
      </w:r>
      <w:r w:rsidRPr="00455819">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55819">
        <w:rPr>
          <w:rFonts w:ascii="Arial" w:hAnsi="Arial" w:cs="Arial"/>
          <w:iCs/>
        </w:rPr>
        <w:t>SaVE</w:t>
      </w:r>
      <w:proofErr w:type="spellEnd"/>
      <w:r w:rsidRPr="00455819">
        <w:rPr>
          <w:rFonts w:ascii="Arial" w:hAnsi="Arial" w:cs="Arial"/>
          <w:iCs/>
        </w:rPr>
        <w:t xml:space="preserve"> Act). Sexual misconduct is a form of sex discrimination and will not be tolerated.</w:t>
      </w:r>
      <w:r w:rsidRPr="00455819">
        <w:rPr>
          <w:rFonts w:ascii="Arial" w:hAnsi="Arial" w:cs="Arial"/>
          <w:b/>
          <w:iCs/>
        </w:rPr>
        <w:t xml:space="preserve"> </w:t>
      </w:r>
      <w:r w:rsidRPr="00455819">
        <w:rPr>
          <w:rFonts w:ascii="Arial" w:eastAsia="Times New Roman" w:hAnsi="Arial" w:cs="Arial"/>
          <w:i/>
          <w:iCs/>
          <w:shd w:val="clear" w:color="auto" w:fill="FFFFFF"/>
          <w:lang w:eastAsia="en-US"/>
        </w:rPr>
        <w:t>For information regarding Title IX, visit</w:t>
      </w:r>
      <w:r w:rsidRPr="00455819">
        <w:rPr>
          <w:rFonts w:ascii="Arial" w:eastAsia="Times New Roman" w:hAnsi="Arial" w:cs="Arial"/>
          <w:lang w:eastAsia="en-US"/>
        </w:rPr>
        <w:t xml:space="preserve"> </w:t>
      </w:r>
      <w:hyperlink r:id="rId19" w:history="1">
        <w:r w:rsidRPr="00455819">
          <w:rPr>
            <w:rStyle w:val="Hyperlink"/>
            <w:rFonts w:ascii="Arial" w:hAnsi="Arial" w:cs="Arial"/>
            <w:color w:val="auto"/>
          </w:rPr>
          <w:t>www.uta.edu/titleIX</w:t>
        </w:r>
      </w:hyperlink>
      <w:r w:rsidRPr="00455819">
        <w:rPr>
          <w:rFonts w:ascii="Arial" w:hAnsi="Arial" w:cs="Arial"/>
        </w:rPr>
        <w:t xml:space="preserve"> or contact Ms. Jean Hood, Vice President and Title IX Coordinator at (817) 272-7091 or </w:t>
      </w:r>
      <w:hyperlink r:id="rId20" w:history="1">
        <w:r w:rsidRPr="00455819">
          <w:rPr>
            <w:rStyle w:val="Hyperlink"/>
            <w:rFonts w:ascii="Arial" w:hAnsi="Arial" w:cs="Arial"/>
            <w:color w:val="auto"/>
          </w:rPr>
          <w:t>jmhood@uta.edu</w:t>
        </w:r>
      </w:hyperlink>
      <w:r w:rsidRPr="00455819">
        <w:rPr>
          <w:rFonts w:ascii="Arial" w:hAnsi="Arial" w:cs="Arial"/>
        </w:rPr>
        <w:t>.</w:t>
      </w:r>
    </w:p>
    <w:p w:rsidR="004D16B5" w:rsidRPr="00455819" w:rsidRDefault="004D16B5" w:rsidP="004D16B5">
      <w:pPr>
        <w:keepNext/>
        <w:rPr>
          <w:rFonts w:ascii="Arial" w:hAnsi="Arial" w:cs="Arial"/>
        </w:rPr>
      </w:pPr>
    </w:p>
    <w:p w:rsidR="004D16B5" w:rsidRPr="00455819" w:rsidRDefault="004D16B5" w:rsidP="004D16B5">
      <w:pPr>
        <w:keepNext/>
        <w:rPr>
          <w:rFonts w:ascii="Arial" w:hAnsi="Arial" w:cs="Arial"/>
        </w:rPr>
      </w:pPr>
      <w:r w:rsidRPr="00455819">
        <w:rPr>
          <w:rFonts w:ascii="Arial" w:hAnsi="Arial" w:cs="Arial"/>
          <w:b/>
          <w:bCs/>
        </w:rPr>
        <w:t xml:space="preserve">Academic Integrity: </w:t>
      </w:r>
      <w:r w:rsidRPr="00455819">
        <w:rPr>
          <w:rFonts w:ascii="Arial" w:hAnsi="Arial" w:cs="Arial"/>
        </w:rPr>
        <w:t>Students enrolled all UT Arlington courses are expected to adhere to the UT Arlington Honor Code:</w:t>
      </w:r>
    </w:p>
    <w:p w:rsidR="004D16B5" w:rsidRPr="00455819" w:rsidRDefault="004D16B5" w:rsidP="004D16B5">
      <w:pPr>
        <w:keepNext/>
        <w:rPr>
          <w:rFonts w:ascii="Arial" w:hAnsi="Arial" w:cs="Arial"/>
        </w:rPr>
      </w:pPr>
    </w:p>
    <w:p w:rsidR="004D16B5" w:rsidRPr="00455819" w:rsidRDefault="004D16B5" w:rsidP="004D16B5">
      <w:pPr>
        <w:pStyle w:val="Default"/>
        <w:spacing w:after="80"/>
        <w:ind w:left="720" w:right="432"/>
        <w:jc w:val="both"/>
        <w:rPr>
          <w:rFonts w:ascii="Arial" w:hAnsi="Arial" w:cs="Arial"/>
          <w:i/>
          <w:color w:val="auto"/>
          <w:sz w:val="22"/>
          <w:szCs w:val="22"/>
        </w:rPr>
      </w:pPr>
      <w:r w:rsidRPr="00455819">
        <w:rPr>
          <w:rFonts w:ascii="Arial" w:hAnsi="Arial" w:cs="Arial"/>
          <w:i/>
          <w:color w:val="auto"/>
          <w:sz w:val="22"/>
          <w:szCs w:val="22"/>
        </w:rPr>
        <w:t xml:space="preserve">I pledge, on my honor, to uphold UT Arlington’s tradition of academic integrity, a tradition that values hard work and honest effort in the pursuit of academic excellence. </w:t>
      </w:r>
    </w:p>
    <w:p w:rsidR="004D16B5" w:rsidRPr="00455819" w:rsidRDefault="004D16B5" w:rsidP="004D16B5">
      <w:pPr>
        <w:pStyle w:val="Default"/>
        <w:spacing w:after="80"/>
        <w:ind w:left="720" w:right="432"/>
        <w:jc w:val="both"/>
        <w:rPr>
          <w:rFonts w:ascii="Arial" w:hAnsi="Arial" w:cs="Arial"/>
          <w:i/>
          <w:color w:val="auto"/>
          <w:sz w:val="22"/>
          <w:szCs w:val="22"/>
        </w:rPr>
      </w:pPr>
      <w:r w:rsidRPr="00455819">
        <w:rPr>
          <w:rFonts w:ascii="Arial" w:hAnsi="Arial" w:cs="Arial"/>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455819" w:rsidRDefault="004D16B5" w:rsidP="004D16B5">
      <w:pPr>
        <w:keepNext/>
        <w:rPr>
          <w:rFonts w:ascii="Arial" w:hAnsi="Arial" w:cs="Arial"/>
        </w:rPr>
      </w:pPr>
    </w:p>
    <w:p w:rsidR="004D16B5" w:rsidRPr="00455819" w:rsidRDefault="004D16B5" w:rsidP="004D16B5">
      <w:pPr>
        <w:keepNext/>
        <w:rPr>
          <w:rFonts w:ascii="Arial" w:hAnsi="Arial" w:cs="Arial"/>
        </w:rPr>
      </w:pPr>
      <w:r w:rsidRPr="00455819">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455819">
        <w:rPr>
          <w:rFonts w:ascii="Arial" w:hAnsi="Arial" w:cs="Arial"/>
          <w:i/>
        </w:rPr>
        <w:t>Regents’ Rule</w:t>
      </w:r>
      <w:r w:rsidRPr="00455819">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1" w:history="1">
        <w:r w:rsidRPr="00455819">
          <w:rPr>
            <w:rStyle w:val="Hyperlink"/>
            <w:rFonts w:ascii="Arial" w:hAnsi="Arial" w:cs="Arial"/>
            <w:color w:val="auto"/>
          </w:rPr>
          <w:t>https://www.uta.edu/conduct/</w:t>
        </w:r>
      </w:hyperlink>
      <w:r w:rsidRPr="00455819">
        <w:rPr>
          <w:rFonts w:ascii="Arial" w:hAnsi="Arial" w:cs="Arial"/>
        </w:rPr>
        <w:t xml:space="preserve">. </w:t>
      </w:r>
    </w:p>
    <w:p w:rsidR="004D16B5" w:rsidRPr="00455819" w:rsidRDefault="004D16B5" w:rsidP="004D16B5">
      <w:pPr>
        <w:rPr>
          <w:rFonts w:ascii="Arial" w:hAnsi="Arial" w:cs="Arial"/>
        </w:rPr>
      </w:pPr>
    </w:p>
    <w:p w:rsidR="004D16B5" w:rsidRPr="00455819" w:rsidRDefault="004D16B5" w:rsidP="004D16B5">
      <w:pPr>
        <w:rPr>
          <w:rFonts w:ascii="Arial" w:hAnsi="Arial" w:cs="Arial"/>
        </w:rPr>
      </w:pPr>
    </w:p>
    <w:p w:rsidR="004D16B5" w:rsidRPr="00455819" w:rsidRDefault="004D16B5" w:rsidP="004D16B5">
      <w:pPr>
        <w:rPr>
          <w:rFonts w:ascii="Arial" w:hAnsi="Arial" w:cs="Arial"/>
        </w:rPr>
      </w:pPr>
      <w:r w:rsidRPr="00455819">
        <w:rPr>
          <w:rFonts w:ascii="Arial" w:hAnsi="Arial" w:cs="Arial"/>
          <w:b/>
        </w:rPr>
        <w:t xml:space="preserve">Electronic Communication: </w:t>
      </w:r>
      <w:r w:rsidRPr="00455819">
        <w:rPr>
          <w:rFonts w:ascii="Arial" w:hAnsi="Arial" w:cs="Arial"/>
        </w:rPr>
        <w:t xml:space="preserve">UT Arlington has adopted </w:t>
      </w:r>
      <w:proofErr w:type="spellStart"/>
      <w:r w:rsidRPr="00455819">
        <w:rPr>
          <w:rFonts w:ascii="Arial" w:hAnsi="Arial" w:cs="Arial"/>
        </w:rPr>
        <w:t>MavMail</w:t>
      </w:r>
      <w:proofErr w:type="spellEnd"/>
      <w:r w:rsidRPr="00455819">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55819">
        <w:rPr>
          <w:rFonts w:ascii="Arial" w:hAnsi="Arial" w:cs="Arial"/>
        </w:rPr>
        <w:t>MavMail</w:t>
      </w:r>
      <w:proofErr w:type="spellEnd"/>
      <w:r w:rsidRPr="00455819">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55819">
        <w:rPr>
          <w:rFonts w:ascii="Arial" w:hAnsi="Arial" w:cs="Arial"/>
        </w:rPr>
        <w:t>MavMail</w:t>
      </w:r>
      <w:proofErr w:type="spellEnd"/>
      <w:r w:rsidRPr="00455819">
        <w:rPr>
          <w:rFonts w:ascii="Arial" w:hAnsi="Arial" w:cs="Arial"/>
        </w:rPr>
        <w:t xml:space="preserve"> is available at </w:t>
      </w:r>
      <w:hyperlink r:id="rId22" w:history="1">
        <w:r w:rsidRPr="00455819">
          <w:rPr>
            <w:rStyle w:val="Hyperlink"/>
            <w:rFonts w:ascii="Arial" w:hAnsi="Arial" w:cs="Arial"/>
            <w:color w:val="auto"/>
          </w:rPr>
          <w:t>http://www.uta.edu/oit/cs/email/mavmail.php</w:t>
        </w:r>
      </w:hyperlink>
      <w:r w:rsidRPr="00455819">
        <w:rPr>
          <w:rFonts w:ascii="Arial" w:hAnsi="Arial" w:cs="Arial"/>
        </w:rPr>
        <w:t>.</w:t>
      </w:r>
    </w:p>
    <w:p w:rsidR="004D16B5" w:rsidRPr="00455819" w:rsidRDefault="004D16B5" w:rsidP="004D16B5">
      <w:pPr>
        <w:rPr>
          <w:rFonts w:ascii="Arial" w:hAnsi="Arial" w:cs="Arial"/>
        </w:rPr>
      </w:pPr>
    </w:p>
    <w:p w:rsidR="004D16B5" w:rsidRPr="00455819" w:rsidRDefault="004D16B5" w:rsidP="004D16B5">
      <w:pPr>
        <w:rPr>
          <w:rFonts w:ascii="Arial" w:hAnsi="Arial" w:cs="Arial"/>
        </w:rPr>
      </w:pPr>
      <w:r w:rsidRPr="00455819">
        <w:rPr>
          <w:rFonts w:ascii="Arial" w:hAnsi="Arial" w:cs="Arial"/>
          <w:b/>
        </w:rPr>
        <w:t>Campus Carry:</w:t>
      </w:r>
      <w:r w:rsidRPr="00455819">
        <w:rPr>
          <w:rFonts w:ascii="Arial" w:hAnsi="Arial" w:cs="Arial"/>
        </w:rPr>
        <w:t xml:space="preserve">  Effective August 1, 2016, the Campus Carry </w:t>
      </w:r>
      <w:proofErr w:type="gramStart"/>
      <w:r w:rsidRPr="00455819">
        <w:rPr>
          <w:rFonts w:ascii="Arial" w:hAnsi="Arial" w:cs="Arial"/>
        </w:rPr>
        <w:t>law  (</w:t>
      </w:r>
      <w:proofErr w:type="gramEnd"/>
      <w:r w:rsidRPr="00455819">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455819">
          <w:rPr>
            <w:rStyle w:val="Hyperlink"/>
            <w:rFonts w:ascii="Arial" w:hAnsi="Arial" w:cs="Arial"/>
            <w:color w:val="auto"/>
          </w:rPr>
          <w:t>http://www.uta.edu/news/info/campus-carry/</w:t>
        </w:r>
      </w:hyperlink>
    </w:p>
    <w:p w:rsidR="004D16B5" w:rsidRPr="00455819" w:rsidRDefault="004D16B5" w:rsidP="004D16B5">
      <w:pPr>
        <w:rPr>
          <w:rFonts w:ascii="Arial" w:hAnsi="Arial" w:cs="Arial"/>
        </w:rPr>
      </w:pPr>
    </w:p>
    <w:p w:rsidR="004D16B5" w:rsidRPr="00455819" w:rsidRDefault="004D16B5" w:rsidP="004D16B5">
      <w:pPr>
        <w:rPr>
          <w:rFonts w:ascii="Arial" w:hAnsi="Arial" w:cs="Arial"/>
        </w:rPr>
      </w:pPr>
    </w:p>
    <w:p w:rsidR="004D16B5" w:rsidRPr="00455819" w:rsidRDefault="004D16B5" w:rsidP="004D16B5">
      <w:pPr>
        <w:autoSpaceDE w:val="0"/>
        <w:autoSpaceDN w:val="0"/>
        <w:adjustRightInd w:val="0"/>
        <w:rPr>
          <w:rFonts w:ascii="Arial" w:hAnsi="Arial" w:cs="Arial"/>
        </w:rPr>
      </w:pPr>
      <w:r w:rsidRPr="00455819">
        <w:rPr>
          <w:rFonts w:ascii="Arial" w:hAnsi="Arial" w:cs="Arial"/>
          <w:b/>
        </w:rPr>
        <w:t xml:space="preserve">Student Feedback Survey: </w:t>
      </w:r>
      <w:r w:rsidRPr="00455819">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55819">
        <w:rPr>
          <w:rFonts w:ascii="Arial" w:hAnsi="Arial" w:cs="Arial"/>
          <w:bCs/>
        </w:rPr>
        <w:t>MavMail</w:t>
      </w:r>
      <w:proofErr w:type="spellEnd"/>
      <w:r w:rsidRPr="00455819">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455819">
          <w:rPr>
            <w:rStyle w:val="Hyperlink"/>
            <w:rFonts w:ascii="Arial" w:hAnsi="Arial" w:cs="Arial"/>
            <w:bCs/>
            <w:color w:val="auto"/>
          </w:rPr>
          <w:t>http://www.uta.edu/sfs</w:t>
        </w:r>
      </w:hyperlink>
      <w:r w:rsidRPr="00455819">
        <w:rPr>
          <w:rFonts w:ascii="Arial" w:hAnsi="Arial" w:cs="Arial"/>
          <w:bCs/>
        </w:rPr>
        <w:t>.</w:t>
      </w:r>
    </w:p>
    <w:p w:rsidR="004D16B5" w:rsidRPr="00455819" w:rsidRDefault="004D16B5" w:rsidP="004D16B5">
      <w:pPr>
        <w:rPr>
          <w:rFonts w:ascii="Arial" w:hAnsi="Arial" w:cs="Arial"/>
          <w:b/>
          <w:bCs/>
        </w:rPr>
      </w:pPr>
    </w:p>
    <w:p w:rsidR="004D16B5" w:rsidRPr="00455819" w:rsidRDefault="004D16B5" w:rsidP="004D16B5">
      <w:pPr>
        <w:rPr>
          <w:rFonts w:ascii="Arial" w:hAnsi="Arial" w:cs="Arial"/>
        </w:rPr>
      </w:pPr>
    </w:p>
    <w:p w:rsidR="004D16B5" w:rsidRPr="00455819" w:rsidRDefault="004D16B5" w:rsidP="004D16B5">
      <w:pPr>
        <w:rPr>
          <w:rFonts w:ascii="Arial" w:hAnsi="Arial" w:cs="Arial"/>
        </w:rPr>
      </w:pPr>
    </w:p>
    <w:p w:rsidR="004D16B5" w:rsidRPr="00455819" w:rsidRDefault="004D16B5" w:rsidP="004D16B5">
      <w:pPr>
        <w:rPr>
          <w:rFonts w:ascii="Arial" w:hAnsi="Arial" w:cs="Arial"/>
          <w:b/>
          <w:bCs/>
        </w:rPr>
      </w:pPr>
      <w:r w:rsidRPr="00455819">
        <w:rPr>
          <w:rFonts w:ascii="Arial" w:hAnsi="Arial" w:cs="Arial"/>
          <w:b/>
          <w:bCs/>
        </w:rPr>
        <w:t>Student Support Services</w:t>
      </w:r>
      <w:r w:rsidRPr="00455819">
        <w:rPr>
          <w:rFonts w:ascii="Arial" w:hAnsi="Arial" w:cs="Arial"/>
        </w:rPr>
        <w:t>:</w:t>
      </w:r>
      <w:r w:rsidRPr="00455819">
        <w:rPr>
          <w:rFonts w:ascii="Arial" w:hAnsi="Arial" w:cs="Arial"/>
          <w:b/>
          <w:bCs/>
        </w:rPr>
        <w:t xml:space="preserve"> </w:t>
      </w:r>
      <w:r w:rsidRPr="00455819">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455819">
          <w:rPr>
            <w:rStyle w:val="Hyperlink"/>
            <w:rFonts w:ascii="Arial" w:hAnsi="Arial" w:cs="Arial"/>
            <w:color w:val="auto"/>
          </w:rPr>
          <w:t>tutoring</w:t>
        </w:r>
      </w:hyperlink>
      <w:r w:rsidRPr="00455819">
        <w:rPr>
          <w:rFonts w:ascii="Arial" w:hAnsi="Arial" w:cs="Arial"/>
        </w:rPr>
        <w:t xml:space="preserve">, </w:t>
      </w:r>
      <w:hyperlink r:id="rId26" w:history="1">
        <w:r w:rsidRPr="00455819">
          <w:rPr>
            <w:rStyle w:val="Hyperlink"/>
            <w:rFonts w:ascii="Arial" w:hAnsi="Arial" w:cs="Arial"/>
            <w:color w:val="auto"/>
          </w:rPr>
          <w:t>major-based learning centers</w:t>
        </w:r>
      </w:hyperlink>
      <w:r w:rsidRPr="00455819">
        <w:rPr>
          <w:rFonts w:ascii="Arial" w:hAnsi="Arial" w:cs="Arial"/>
        </w:rPr>
        <w:t xml:space="preserve">, developmental education, </w:t>
      </w:r>
      <w:hyperlink r:id="rId27" w:history="1">
        <w:r w:rsidRPr="00455819">
          <w:rPr>
            <w:rStyle w:val="Hyperlink"/>
            <w:rFonts w:ascii="Arial" w:hAnsi="Arial" w:cs="Arial"/>
            <w:color w:val="auto"/>
          </w:rPr>
          <w:t>advising and mentoring</w:t>
        </w:r>
      </w:hyperlink>
      <w:r w:rsidRPr="00455819">
        <w:rPr>
          <w:rFonts w:ascii="Arial" w:hAnsi="Arial" w:cs="Arial"/>
        </w:rPr>
        <w:t xml:space="preserve">, personal counseling, and </w:t>
      </w:r>
      <w:hyperlink r:id="rId28" w:history="1">
        <w:r w:rsidRPr="00455819">
          <w:rPr>
            <w:rStyle w:val="Hyperlink"/>
            <w:rFonts w:ascii="Arial" w:hAnsi="Arial" w:cs="Arial"/>
            <w:color w:val="auto"/>
          </w:rPr>
          <w:t>federally funded programs</w:t>
        </w:r>
      </w:hyperlink>
      <w:r w:rsidRPr="00455819">
        <w:rPr>
          <w:rFonts w:ascii="Arial" w:hAnsi="Arial" w:cs="Arial"/>
        </w:rPr>
        <w:t xml:space="preserve">. For individualized referrals, students may visit the reception desk at University College (Ransom Hall), call the Maverick Resource Hotline at 817-272-6107, send a message to </w:t>
      </w:r>
      <w:hyperlink r:id="rId29" w:history="1">
        <w:r w:rsidRPr="00455819">
          <w:rPr>
            <w:rStyle w:val="Hyperlink"/>
            <w:rFonts w:ascii="Arial" w:hAnsi="Arial" w:cs="Arial"/>
            <w:color w:val="auto"/>
          </w:rPr>
          <w:t>resources@uta.edu</w:t>
        </w:r>
      </w:hyperlink>
      <w:r w:rsidRPr="00455819">
        <w:rPr>
          <w:rFonts w:ascii="Arial" w:hAnsi="Arial" w:cs="Arial"/>
        </w:rPr>
        <w:t xml:space="preserve">, or view the information at </w:t>
      </w:r>
      <w:hyperlink r:id="rId30" w:history="1">
        <w:r w:rsidRPr="00455819">
          <w:rPr>
            <w:rStyle w:val="Hyperlink"/>
            <w:rFonts w:ascii="Arial" w:hAnsi="Arial" w:cs="Arial"/>
            <w:color w:val="auto"/>
          </w:rPr>
          <w:t>http://www.uta.edu/universitycollege/resources/index.php</w:t>
        </w:r>
      </w:hyperlink>
      <w:r w:rsidRPr="00455819">
        <w:rPr>
          <w:rFonts w:ascii="Arial" w:hAnsi="Arial" w:cs="Arial"/>
        </w:rPr>
        <w:t>.</w:t>
      </w:r>
    </w:p>
    <w:p w:rsidR="004D16B5" w:rsidRPr="00455819" w:rsidRDefault="004D16B5" w:rsidP="004D16B5">
      <w:pPr>
        <w:rPr>
          <w:rFonts w:ascii="Arial" w:hAnsi="Arial" w:cs="Arial"/>
          <w:bCs/>
        </w:rPr>
      </w:pPr>
    </w:p>
    <w:p w:rsidR="004D16B5" w:rsidRPr="00455819" w:rsidRDefault="004D16B5" w:rsidP="004D16B5">
      <w:pPr>
        <w:rPr>
          <w:rFonts w:ascii="Arial" w:hAnsi="Arial" w:cs="Arial"/>
          <w:bCs/>
        </w:rPr>
      </w:pPr>
      <w:r w:rsidRPr="00455819">
        <w:rPr>
          <w:rFonts w:ascii="Arial" w:hAnsi="Arial" w:cs="Arial"/>
          <w:b/>
          <w:bCs/>
        </w:rPr>
        <w:t>The IDEAS Center (</w:t>
      </w:r>
      <w:r w:rsidRPr="00455819">
        <w:rPr>
          <w:rFonts w:ascii="Arial" w:hAnsi="Arial" w:cs="Arial"/>
          <w:bCs/>
        </w:rPr>
        <w:t>2</w:t>
      </w:r>
      <w:r w:rsidRPr="00455819">
        <w:rPr>
          <w:rFonts w:ascii="Arial" w:hAnsi="Arial" w:cs="Arial"/>
          <w:bCs/>
          <w:vertAlign w:val="superscript"/>
        </w:rPr>
        <w:t>nd</w:t>
      </w:r>
      <w:r w:rsidRPr="00455819">
        <w:rPr>
          <w:rFonts w:ascii="Arial" w:hAnsi="Arial" w:cs="Arial"/>
          <w:bCs/>
        </w:rPr>
        <w:t xml:space="preserve"> Floor of Central Library) offers </w:t>
      </w:r>
      <w:r w:rsidRPr="00455819">
        <w:rPr>
          <w:rFonts w:ascii="Arial" w:hAnsi="Arial" w:cs="Arial"/>
          <w:b/>
          <w:bCs/>
        </w:rPr>
        <w:t>free</w:t>
      </w:r>
      <w:r w:rsidRPr="00455819">
        <w:rPr>
          <w:rFonts w:ascii="Arial" w:hAnsi="Arial" w:cs="Arial"/>
          <w:bCs/>
        </w:rPr>
        <w:t xml:space="preserve"> tutoring to all students with a focus on transfer students, sophomores, veterans and others undergoing a transition to UT Arlington. To schedule an appointment with a peer tutor or mentor email </w:t>
      </w:r>
      <w:hyperlink r:id="rId31" w:history="1">
        <w:r w:rsidRPr="00455819">
          <w:rPr>
            <w:rStyle w:val="Hyperlink"/>
            <w:rFonts w:ascii="Arial" w:hAnsi="Arial" w:cs="Arial"/>
            <w:bCs/>
            <w:color w:val="auto"/>
          </w:rPr>
          <w:t>IDEAS@uta.edu</w:t>
        </w:r>
      </w:hyperlink>
      <w:r w:rsidRPr="00455819">
        <w:rPr>
          <w:rFonts w:ascii="Arial" w:hAnsi="Arial" w:cs="Arial"/>
          <w:bCs/>
        </w:rPr>
        <w:t xml:space="preserve"> or call (817) 272-6593.</w:t>
      </w:r>
    </w:p>
    <w:p w:rsidR="00455819" w:rsidRDefault="004D16B5" w:rsidP="00455819">
      <w:pPr>
        <w:rPr>
          <w:rFonts w:ascii="Arial" w:hAnsi="Arial" w:cs="Arial"/>
          <w:bCs/>
        </w:rPr>
      </w:pPr>
      <w:r w:rsidRPr="00455819">
        <w:rPr>
          <w:rFonts w:ascii="Arial" w:hAnsi="Arial" w:cs="Arial"/>
          <w:bCs/>
        </w:rPr>
        <w:t xml:space="preserve"> </w:t>
      </w:r>
    </w:p>
    <w:p w:rsidR="004D16B5" w:rsidRPr="00455819" w:rsidRDefault="004D16B5" w:rsidP="00455819">
      <w:pPr>
        <w:rPr>
          <w:rFonts w:ascii="Arial" w:hAnsi="Arial" w:cs="Arial"/>
        </w:rPr>
      </w:pPr>
      <w:r w:rsidRPr="00455819">
        <w:rPr>
          <w:rFonts w:ascii="Arial" w:hAnsi="Arial" w:cs="Arial"/>
          <w:b/>
          <w:bCs/>
        </w:rPr>
        <w:t>The English Writing Center (411LIBR)</w:t>
      </w:r>
      <w:r w:rsidRPr="00455819">
        <w:rPr>
          <w:rFonts w:ascii="Arial" w:hAnsi="Arial" w:cs="Arial"/>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2" w:history="1">
        <w:r w:rsidRPr="00455819">
          <w:rPr>
            <w:rStyle w:val="Hyperlink"/>
            <w:rFonts w:ascii="Arial" w:hAnsi="Arial" w:cs="Arial"/>
            <w:color w:val="auto"/>
          </w:rPr>
          <w:t>www.uta.edu/owl</w:t>
        </w:r>
      </w:hyperlink>
      <w:r w:rsidRPr="00455819">
        <w:rPr>
          <w:rFonts w:ascii="Arial" w:hAnsi="Arial" w:cs="Arial"/>
        </w:rPr>
        <w:t xml:space="preserve"> for detailed information on all our programs and services.</w:t>
      </w:r>
    </w:p>
    <w:p w:rsidR="004D16B5" w:rsidRPr="00455819" w:rsidRDefault="004D16B5" w:rsidP="004D16B5">
      <w:pPr>
        <w:spacing w:before="100" w:beforeAutospacing="1" w:after="100" w:afterAutospacing="1"/>
        <w:rPr>
          <w:rFonts w:ascii="Arial" w:hAnsi="Arial" w:cs="Arial"/>
        </w:rPr>
      </w:pPr>
      <w:r w:rsidRPr="00455819">
        <w:rPr>
          <w:rFonts w:ascii="Arial" w:hAnsi="Arial" w:cs="Arial"/>
        </w:rPr>
        <w:t>The Library’s 2</w:t>
      </w:r>
      <w:r w:rsidRPr="00455819">
        <w:rPr>
          <w:rFonts w:ascii="Arial" w:hAnsi="Arial" w:cs="Arial"/>
          <w:vertAlign w:val="superscript"/>
        </w:rPr>
        <w:t>nd</w:t>
      </w:r>
      <w:r w:rsidRPr="00455819">
        <w:rPr>
          <w:rFonts w:ascii="Arial" w:hAnsi="Arial" w:cs="Arial"/>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455819">
          <w:rPr>
            <w:rStyle w:val="Hyperlink"/>
            <w:rFonts w:ascii="Arial" w:hAnsi="Arial" w:cs="Arial"/>
            <w:color w:val="auto"/>
          </w:rPr>
          <w:t>http://library.uta.edu/academic-plaza</w:t>
        </w:r>
      </w:hyperlink>
    </w:p>
    <w:p w:rsidR="004D16B5" w:rsidRPr="00455819" w:rsidRDefault="004D16B5" w:rsidP="004D16B5">
      <w:pPr>
        <w:widowControl w:val="0"/>
        <w:suppressAutoHyphens/>
        <w:spacing w:after="100"/>
        <w:rPr>
          <w:rFonts w:ascii="Arial" w:eastAsia="Times New Roman" w:hAnsi="Arial" w:cs="Arial"/>
          <w:b/>
          <w:lang w:eastAsia="ar-SA"/>
        </w:rPr>
      </w:pPr>
      <w:r w:rsidRPr="00455819">
        <w:rPr>
          <w:rFonts w:ascii="Arial" w:eastAsia="Times New Roman" w:hAnsi="Arial" w:cs="Arial"/>
          <w:b/>
          <w:lang w:eastAsia="ar-SA"/>
        </w:rPr>
        <w:t>Library Information</w:t>
      </w:r>
    </w:p>
    <w:p w:rsidR="004D16B5" w:rsidRPr="00455819" w:rsidRDefault="004D16B5" w:rsidP="004D16B5">
      <w:pPr>
        <w:rPr>
          <w:rFonts w:ascii="Arial" w:eastAsia="Calibri" w:hAnsi="Arial" w:cs="Arial"/>
          <w:b/>
          <w:lang w:eastAsia="en-US"/>
        </w:rPr>
      </w:pPr>
      <w:r w:rsidRPr="00455819">
        <w:rPr>
          <w:rFonts w:ascii="Arial" w:eastAsia="Calibri" w:hAnsi="Arial" w:cs="Arial"/>
          <w:b/>
          <w:lang w:eastAsia="en-US"/>
        </w:rPr>
        <w:t>Peace Ossom Williamson, MLS, MS, AHIP</w:t>
      </w:r>
    </w:p>
    <w:p w:rsidR="004D16B5" w:rsidRPr="00455819" w:rsidRDefault="004D16B5" w:rsidP="004D16B5">
      <w:pPr>
        <w:ind w:left="3600"/>
        <w:rPr>
          <w:rFonts w:ascii="Arial" w:eastAsia="Calibri" w:hAnsi="Arial" w:cs="Arial"/>
          <w:lang w:eastAsia="en-US"/>
        </w:rPr>
      </w:pPr>
      <w:r w:rsidRPr="00455819">
        <w:rPr>
          <w:rFonts w:ascii="Arial" w:eastAsia="Calibri" w:hAnsi="Arial" w:cs="Arial"/>
          <w:lang w:eastAsia="en-US"/>
        </w:rPr>
        <w:t>Nursing Liaison Librarian, Central Library Office 216</w:t>
      </w:r>
    </w:p>
    <w:p w:rsidR="004D16B5" w:rsidRPr="00455819" w:rsidRDefault="001C421A" w:rsidP="004D16B5">
      <w:pPr>
        <w:ind w:left="3600"/>
        <w:rPr>
          <w:rFonts w:ascii="Arial" w:eastAsia="Calibri" w:hAnsi="Arial" w:cs="Arial"/>
          <w:lang w:eastAsia="en-US"/>
        </w:rPr>
      </w:pPr>
      <w:hyperlink r:id="rId34" w:history="1">
        <w:r w:rsidR="004D16B5" w:rsidRPr="00455819">
          <w:rPr>
            <w:rFonts w:ascii="Arial" w:eastAsia="Calibri" w:hAnsi="Arial" w:cs="Arial"/>
            <w:u w:val="single"/>
            <w:lang w:eastAsia="en-US"/>
          </w:rPr>
          <w:t>http://www.uta.edu/library</w:t>
        </w:r>
      </w:hyperlink>
      <w:r w:rsidR="004D16B5" w:rsidRPr="00455819">
        <w:rPr>
          <w:rFonts w:ascii="Arial" w:eastAsia="Calibri" w:hAnsi="Arial" w:cs="Arial"/>
          <w:lang w:eastAsia="en-US"/>
        </w:rPr>
        <w:t xml:space="preserve"> | </w:t>
      </w:r>
      <w:hyperlink r:id="rId35" w:history="1">
        <w:r w:rsidR="004D16B5" w:rsidRPr="00455819">
          <w:rPr>
            <w:rFonts w:ascii="Arial" w:eastAsia="Calibri" w:hAnsi="Arial" w:cs="Arial"/>
            <w:u w:val="single"/>
            <w:lang w:eastAsia="en-US"/>
          </w:rPr>
          <w:t>peace@uta.edu</w:t>
        </w:r>
      </w:hyperlink>
      <w:r w:rsidR="004D16B5" w:rsidRPr="00455819">
        <w:rPr>
          <w:rFonts w:ascii="Arial" w:eastAsia="Calibri" w:hAnsi="Arial" w:cs="Arial"/>
          <w:lang w:eastAsia="en-US"/>
        </w:rPr>
        <w:t xml:space="preserve"> </w:t>
      </w:r>
    </w:p>
    <w:p w:rsidR="004D16B5" w:rsidRPr="00455819" w:rsidRDefault="004D16B5" w:rsidP="004D16B5">
      <w:pPr>
        <w:ind w:left="3600"/>
        <w:rPr>
          <w:rFonts w:ascii="Arial" w:eastAsia="Calibri" w:hAnsi="Arial" w:cs="Arial"/>
          <w:lang w:eastAsia="en-US"/>
        </w:rPr>
      </w:pPr>
      <w:r w:rsidRPr="00455819">
        <w:rPr>
          <w:rFonts w:ascii="Arial" w:eastAsia="Calibri" w:hAnsi="Arial" w:cs="Arial"/>
          <w:lang w:eastAsia="en-US"/>
        </w:rPr>
        <w:t xml:space="preserve">Research information on nursing: </w:t>
      </w:r>
    </w:p>
    <w:p w:rsidR="004D16B5" w:rsidRPr="00455819" w:rsidRDefault="001C421A" w:rsidP="004D16B5">
      <w:pPr>
        <w:ind w:left="3600"/>
        <w:rPr>
          <w:rFonts w:ascii="Arial" w:eastAsia="Calibri" w:hAnsi="Arial" w:cs="Arial"/>
          <w:lang w:eastAsia="en-US"/>
        </w:rPr>
      </w:pPr>
      <w:hyperlink r:id="rId36" w:history="1">
        <w:r w:rsidR="004D16B5" w:rsidRPr="00455819">
          <w:rPr>
            <w:rFonts w:ascii="Arial" w:eastAsia="Calibri" w:hAnsi="Arial" w:cs="Arial"/>
            <w:u w:val="single"/>
            <w:lang w:eastAsia="en-US"/>
          </w:rPr>
          <w:t>http://libguides.uta.edu/nursing</w:t>
        </w:r>
      </w:hyperlink>
      <w:r w:rsidR="004D16B5" w:rsidRPr="00455819">
        <w:rPr>
          <w:rFonts w:ascii="Arial" w:eastAsia="Calibri" w:hAnsi="Arial" w:cs="Arial"/>
          <w:lang w:eastAsia="en-US"/>
        </w:rPr>
        <w:t xml:space="preserve"> </w:t>
      </w:r>
    </w:p>
    <w:p w:rsidR="004D16B5" w:rsidRPr="00455819" w:rsidRDefault="004D16B5" w:rsidP="004D16B5">
      <w:pPr>
        <w:widowControl w:val="0"/>
        <w:suppressAutoHyphens/>
        <w:spacing w:after="100"/>
        <w:rPr>
          <w:rFonts w:ascii="Arial" w:eastAsia="Times New Roman" w:hAnsi="Arial" w:cs="Arial"/>
          <w:b/>
          <w:lang w:eastAsia="ar-SA"/>
        </w:rPr>
      </w:pPr>
    </w:p>
    <w:p w:rsidR="004D16B5" w:rsidRPr="00455819" w:rsidRDefault="004D16B5" w:rsidP="004D16B5">
      <w:pPr>
        <w:widowControl w:val="0"/>
        <w:suppressAutoHyphens/>
        <w:spacing w:after="400"/>
        <w:rPr>
          <w:rFonts w:ascii="Arial" w:eastAsia="Times New Roman" w:hAnsi="Arial" w:cs="Arial"/>
          <w:lang w:eastAsia="ar-SA"/>
        </w:rPr>
      </w:pPr>
      <w:r w:rsidRPr="00455819">
        <w:rPr>
          <w:rFonts w:ascii="Arial" w:eastAsia="Times New Roman" w:hAnsi="Arial" w:cs="Arial"/>
          <w:lang w:eastAsia="ar-SA"/>
        </w:rPr>
        <w:t xml:space="preserve">Research information on Nursing:  </w:t>
      </w:r>
      <w:hyperlink r:id="rId37" w:history="1">
        <w:r w:rsidRPr="00455819">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38"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Academic Plaza Consultation Services </w:t>
      </w:r>
      <w:hyperlink r:id="rId39"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Ask Us </w:t>
      </w:r>
      <w:hyperlink r:id="rId40"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1"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2"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3"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4" w:history="1">
        <w:r w:rsidRPr="00916FBD">
          <w:rPr>
            <w:rStyle w:val="hyperlinkchar"/>
            <w:rFonts w:ascii="Arial" w:hAnsi="Arial" w:cs="Arial"/>
            <w:sz w:val="21"/>
            <w:szCs w:val="21"/>
          </w:rPr>
          <w:t>libguides.uta.edu/</w:t>
        </w:r>
        <w:proofErr w:type="spellStart"/>
        <w:r w:rsidRPr="00916FBD">
          <w:rPr>
            <w:rStyle w:val="hyperlinkchar"/>
            <w:rFonts w:ascii="Arial" w:hAnsi="Arial" w:cs="Arial"/>
            <w:sz w:val="21"/>
            <w:szCs w:val="21"/>
          </w:rPr>
          <w:t>az.php</w:t>
        </w:r>
        <w:proofErr w:type="spellEnd"/>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5"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proofErr w:type="spellStart"/>
      <w:r w:rsidRPr="00916FBD">
        <w:rPr>
          <w:rStyle w:val="normalchar"/>
          <w:rFonts w:ascii="Arial" w:hAnsi="Arial" w:cs="Arial"/>
          <w:sz w:val="21"/>
          <w:szCs w:val="21"/>
        </w:rPr>
        <w:t>FabLab</w:t>
      </w:r>
      <w:proofErr w:type="spellEnd"/>
      <w:r w:rsidRPr="00916FBD">
        <w:rPr>
          <w:rStyle w:val="normalchar"/>
          <w:rFonts w:ascii="Arial" w:hAnsi="Arial" w:cs="Arial"/>
          <w:sz w:val="21"/>
          <w:szCs w:val="21"/>
        </w:rPr>
        <w:t> </w:t>
      </w:r>
      <w:hyperlink r:id="rId46"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7"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48"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1A" w:rsidRDefault="001C421A">
      <w:r>
        <w:separator/>
      </w:r>
    </w:p>
  </w:endnote>
  <w:endnote w:type="continuationSeparator" w:id="0">
    <w:p w:rsidR="001C421A" w:rsidRDefault="001C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BD" w:rsidRDefault="004D16B5">
    <w:pPr>
      <w:pStyle w:val="Footer"/>
    </w:pPr>
    <w:r>
      <w:t xml:space="preserve">N3325 </w:t>
    </w:r>
    <w:r w:rsidR="00A706D5">
      <w:t>SP 2017</w:t>
    </w:r>
    <w:r>
      <w:t xml:space="preserve"> sections 50</w:t>
    </w:r>
    <w:r w:rsidR="00A706D5">
      <w:t>0</w:t>
    </w:r>
    <w:r>
      <w:t xml:space="preserve"> &amp; 50</w:t>
    </w:r>
    <w:r w:rsidR="00A706D5">
      <w:t>3</w:t>
    </w:r>
    <w:r w:rsidR="00A20C96">
      <w:t xml:space="preserve"> start date </w:t>
    </w:r>
    <w:r w:rsidR="00A706D5">
      <w:t>1/16/17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1A" w:rsidRDefault="001C421A">
      <w:r>
        <w:separator/>
      </w:r>
    </w:p>
  </w:footnote>
  <w:footnote w:type="continuationSeparator" w:id="0">
    <w:p w:rsidR="001C421A" w:rsidRDefault="001C4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5"/>
    <w:rsid w:val="000E337D"/>
    <w:rsid w:val="00196EB6"/>
    <w:rsid w:val="001C421A"/>
    <w:rsid w:val="00242206"/>
    <w:rsid w:val="00277263"/>
    <w:rsid w:val="00455819"/>
    <w:rsid w:val="004D16B5"/>
    <w:rsid w:val="00761614"/>
    <w:rsid w:val="00806189"/>
    <w:rsid w:val="008A3434"/>
    <w:rsid w:val="009930C3"/>
    <w:rsid w:val="00A20C96"/>
    <w:rsid w:val="00A706D5"/>
    <w:rsid w:val="00AA0660"/>
    <w:rsid w:val="00C41030"/>
    <w:rsid w:val="00D804E1"/>
    <w:rsid w:val="00E2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rary.uta.edu/academic-plaza" TargetMode="External"/><Relationship Id="rId3" Type="http://schemas.microsoft.com/office/2007/relationships/stylesWithEffects" Target="stylesWithEffects.xml"/><Relationship Id="rId21" Type="http://schemas.openxmlformats.org/officeDocument/2006/relationships/hyperlink" Target="https://www.uta.edu/conduct/" TargetMode="External"/><Relationship Id="rId34" Type="http://schemas.openxmlformats.org/officeDocument/2006/relationships/hyperlink" Target="http://www.uta.edu/library" TargetMode="External"/><Relationship Id="rId42" Type="http://schemas.openxmlformats.org/officeDocument/2006/relationships/hyperlink" Target="http://libguides.uta.edu/" TargetMode="External"/><Relationship Id="rId47" Type="http://schemas.openxmlformats.org/officeDocument/2006/relationships/hyperlink" Target="http://library.uta.edu/special-collection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 TargetMode="External"/><Relationship Id="rId46" Type="http://schemas.openxmlformats.org/officeDocument/2006/relationships/hyperlink" Target="http://fablab.uta.edu/" TargetMode="External"/><Relationship Id="rId2" Type="http://schemas.openxmlformats.org/officeDocument/2006/relationships/styles" Target="styles.xml"/><Relationship Id="rId16" Type="http://schemas.openxmlformats.org/officeDocument/2006/relationships/hyperlink" Target="http://www.uta.edu/disability" TargetMode="External"/><Relationship Id="rId20" Type="http://schemas.openxmlformats.org/officeDocument/2006/relationships/hyperlink" Target="file:///C:\Users\Janet\Downloads\jmhood@uta.edu" TargetMode="External"/><Relationship Id="rId29" Type="http://schemas.openxmlformats.org/officeDocument/2006/relationships/hyperlink" Target="mailto:resources@uta.edu" TargetMode="External"/><Relationship Id="rId41" Type="http://schemas.openxmlformats.org/officeDocument/2006/relationships/hyperlink" Target="http://library.uta.edu/how-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lpdesk@uta.edu" TargetMode="External"/><Relationship Id="rId24" Type="http://schemas.openxmlformats.org/officeDocument/2006/relationships/hyperlink" Target="http://www.uta.edu/sfs" TargetMode="External"/><Relationship Id="rId32" Type="http://schemas.openxmlformats.org/officeDocument/2006/relationships/hyperlink" Target="http://www.uta.edu/owl"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pulse.uta.edu/vwebv/enterCourseReserve.do"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news/info/campus-carry/"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guides.uta.edu/nursing" TargetMode="External"/><Relationship Id="rId49" Type="http://schemas.openxmlformats.org/officeDocument/2006/relationships/footer" Target="footer1.xml"/><Relationship Id="rId10" Type="http://schemas.openxmlformats.org/officeDocument/2006/relationships/hyperlink" Target="http://www.uta.edu/nursing" TargetMode="External"/><Relationship Id="rId19" Type="http://schemas.openxmlformats.org/officeDocument/2006/relationships/hyperlink" Target="http://www.uta.edu/titleIX" TargetMode="External"/><Relationship Id="rId31" Type="http://schemas.openxmlformats.org/officeDocument/2006/relationships/hyperlink" Target="mailto:IDEAS@uta.edu" TargetMode="External"/><Relationship Id="rId44" Type="http://schemas.openxmlformats.org/officeDocument/2006/relationships/hyperlink" Target="http://libguides.uta.edu/az.php" TargetMode="External"/><Relationship Id="rId4" Type="http://schemas.openxmlformats.org/officeDocument/2006/relationships/settings" Target="settings.xml"/><Relationship Id="rId9" Type="http://schemas.openxmlformats.org/officeDocument/2006/relationships/hyperlink" Target="http://www.uta.edu/nursing/handbook/toc.php" TargetMode="External"/><Relationship Id="rId14" Type="http://schemas.openxmlformats.org/officeDocument/2006/relationships/hyperlink" Target="http://wweb.uta.edu/aao/fao/"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peace@uta.edu" TargetMode="External"/><Relationship Id="rId43" Type="http://schemas.openxmlformats.org/officeDocument/2006/relationships/hyperlink" Target="http://library.uta.edu/subject-librarians" TargetMode="External"/><Relationship Id="rId48" Type="http://schemas.openxmlformats.org/officeDocument/2006/relationships/hyperlink" Target="http://openroom.uta.edu/" TargetMode="External"/><Relationship Id="rId8" Type="http://schemas.openxmlformats.org/officeDocument/2006/relationships/hyperlink" Target="http://library.uta.edu/tutorials/Plagiaris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4419</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2017-01-11T16:56:00Z</dcterms:created>
  <dcterms:modified xsi:type="dcterms:W3CDTF">2017-01-11T16:56:00Z</dcterms:modified>
</cp:coreProperties>
</file>