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92" w:rsidRDefault="00B15D56">
      <w:pPr>
        <w:spacing w:after="282" w:line="259" w:lineRule="auto"/>
        <w:ind w:left="4480" w:firstLine="0"/>
      </w:pPr>
      <w:r>
        <w:rPr>
          <w:noProof/>
        </w:rPr>
        <w:drawing>
          <wp:inline distT="0" distB="0" distL="0" distR="0">
            <wp:extent cx="790575" cy="6953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90575" cy="695325"/>
                    </a:xfrm>
                    <a:prstGeom prst="rect">
                      <a:avLst/>
                    </a:prstGeom>
                  </pic:spPr>
                </pic:pic>
              </a:graphicData>
            </a:graphic>
          </wp:inline>
        </w:drawing>
      </w:r>
    </w:p>
    <w:p w:rsidR="00944692" w:rsidRDefault="00B15D56">
      <w:pPr>
        <w:spacing w:after="240" w:line="259" w:lineRule="auto"/>
        <w:ind w:right="4"/>
        <w:jc w:val="center"/>
      </w:pPr>
      <w:r>
        <w:rPr>
          <w:b/>
        </w:rPr>
        <w:t>THE UNIVERSITY OF TEXAS AT ARLINGTON</w:t>
      </w:r>
    </w:p>
    <w:p w:rsidR="00944692" w:rsidRDefault="00B15D56">
      <w:pPr>
        <w:spacing w:after="0" w:line="259" w:lineRule="auto"/>
        <w:ind w:right="4"/>
        <w:jc w:val="center"/>
      </w:pPr>
      <w:r>
        <w:rPr>
          <w:b/>
        </w:rPr>
        <w:t>School of Social Work</w:t>
      </w:r>
    </w:p>
    <w:tbl>
      <w:tblPr>
        <w:tblStyle w:val="TableGrid"/>
        <w:tblW w:w="9513" w:type="dxa"/>
        <w:tblInd w:w="8" w:type="dxa"/>
        <w:tblCellMar>
          <w:left w:w="158" w:type="dxa"/>
          <w:right w:w="115" w:type="dxa"/>
        </w:tblCellMar>
        <w:tblLook w:val="04A0" w:firstRow="1" w:lastRow="0" w:firstColumn="1" w:lastColumn="0" w:noHBand="0" w:noVBand="1"/>
      </w:tblPr>
      <w:tblGrid>
        <w:gridCol w:w="9513"/>
      </w:tblGrid>
      <w:tr w:rsidR="00944692">
        <w:trPr>
          <w:trHeight w:val="5475"/>
        </w:trPr>
        <w:tc>
          <w:tcPr>
            <w:tcW w:w="9513"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126" w:line="259" w:lineRule="auto"/>
              <w:ind w:left="0" w:firstLine="0"/>
            </w:pPr>
            <w:r>
              <w:rPr>
                <w:b/>
              </w:rPr>
              <w:t xml:space="preserve">Semester/Year: </w:t>
            </w:r>
            <w:r>
              <w:t>Spring 2017</w:t>
            </w:r>
          </w:p>
          <w:p w:rsidR="00944692" w:rsidRDefault="00B15D56">
            <w:pPr>
              <w:spacing w:after="126" w:line="259" w:lineRule="auto"/>
              <w:ind w:left="0" w:firstLine="0"/>
            </w:pPr>
            <w:r>
              <w:rPr>
                <w:b/>
              </w:rPr>
              <w:t xml:space="preserve">Course Title: </w:t>
            </w:r>
            <w:r>
              <w:t>Social Work Practice II</w:t>
            </w:r>
          </w:p>
          <w:p w:rsidR="00944692" w:rsidRDefault="00B15D56">
            <w:pPr>
              <w:spacing w:after="126" w:line="259" w:lineRule="auto"/>
              <w:ind w:left="0" w:firstLine="0"/>
            </w:pPr>
            <w:r>
              <w:rPr>
                <w:b/>
              </w:rPr>
              <w:t xml:space="preserve">Course Prefix/Number/Section: </w:t>
            </w:r>
            <w:r>
              <w:t>SOCW 3304-003</w:t>
            </w:r>
          </w:p>
          <w:p w:rsidR="00944692" w:rsidRDefault="00B15D56">
            <w:pPr>
              <w:spacing w:after="126" w:line="259" w:lineRule="auto"/>
              <w:ind w:left="0" w:firstLine="0"/>
            </w:pPr>
            <w:r>
              <w:rPr>
                <w:b/>
              </w:rPr>
              <w:t xml:space="preserve">Instructor Name: </w:t>
            </w:r>
            <w:r>
              <w:t>Bruce Bower, MSW, LCSW</w:t>
            </w:r>
          </w:p>
          <w:p w:rsidR="00944692" w:rsidRDefault="00B15D56">
            <w:pPr>
              <w:spacing w:after="126" w:line="259" w:lineRule="auto"/>
              <w:ind w:left="0" w:firstLine="0"/>
            </w:pPr>
            <w:r>
              <w:rPr>
                <w:b/>
              </w:rPr>
              <w:t xml:space="preserve">Faculty Position: </w:t>
            </w:r>
            <w:r>
              <w:t>Assistant Professor in Practice</w:t>
            </w:r>
          </w:p>
          <w:p w:rsidR="00944692" w:rsidRDefault="00B15D56">
            <w:pPr>
              <w:spacing w:after="126" w:line="259" w:lineRule="auto"/>
              <w:ind w:left="0" w:firstLine="0"/>
            </w:pPr>
            <w:r>
              <w:rPr>
                <w:b/>
              </w:rPr>
              <w:t xml:space="preserve">Faculty Profile: </w:t>
            </w:r>
            <w:r>
              <w:t>N/A</w:t>
            </w:r>
          </w:p>
          <w:p w:rsidR="00944692" w:rsidRDefault="00B15D56">
            <w:pPr>
              <w:spacing w:after="126" w:line="259" w:lineRule="auto"/>
              <w:ind w:left="0" w:firstLine="0"/>
            </w:pPr>
            <w:r>
              <w:rPr>
                <w:b/>
              </w:rPr>
              <w:t xml:space="preserve">Office Number: </w:t>
            </w:r>
            <w:r>
              <w:t>201D</w:t>
            </w:r>
          </w:p>
          <w:p w:rsidR="00944692" w:rsidRDefault="00B15D56">
            <w:pPr>
              <w:spacing w:after="126" w:line="259" w:lineRule="auto"/>
              <w:ind w:left="0" w:firstLine="0"/>
            </w:pPr>
            <w:r>
              <w:rPr>
                <w:b/>
              </w:rPr>
              <w:t xml:space="preserve">Phone Number: </w:t>
            </w:r>
            <w:r>
              <w:t>N/A</w:t>
            </w:r>
          </w:p>
          <w:p w:rsidR="00944692" w:rsidRDefault="00B15D56">
            <w:pPr>
              <w:spacing w:after="126" w:line="259" w:lineRule="auto"/>
              <w:ind w:left="0" w:firstLine="0"/>
            </w:pPr>
            <w:r>
              <w:rPr>
                <w:b/>
              </w:rPr>
              <w:t xml:space="preserve">Email Address: </w:t>
            </w:r>
            <w:r>
              <w:t>bower@uta.edu</w:t>
            </w:r>
          </w:p>
          <w:p w:rsidR="00944692" w:rsidRDefault="00B15D56">
            <w:pPr>
              <w:spacing w:after="126" w:line="259" w:lineRule="auto"/>
              <w:ind w:left="0" w:firstLine="0"/>
            </w:pPr>
            <w:r>
              <w:rPr>
                <w:b/>
              </w:rPr>
              <w:t xml:space="preserve">Office Hours: </w:t>
            </w:r>
            <w:r>
              <w:t>Mondays, from 1:00 to 5:00 PM</w:t>
            </w:r>
          </w:p>
          <w:p w:rsidR="00944692" w:rsidRDefault="00B15D56">
            <w:pPr>
              <w:spacing w:after="0" w:line="383" w:lineRule="auto"/>
              <w:ind w:left="0" w:right="684" w:firstLine="0"/>
            </w:pPr>
            <w:r>
              <w:rPr>
                <w:b/>
              </w:rPr>
              <w:t xml:space="preserve">Day and Time of Class (if applicable): </w:t>
            </w:r>
            <w:r>
              <w:t xml:space="preserve">Tuesday and Thursday, 9:30 to 10:50 AM </w:t>
            </w:r>
            <w:r>
              <w:rPr>
                <w:b/>
              </w:rPr>
              <w:t xml:space="preserve">Location: </w:t>
            </w:r>
            <w:r>
              <w:t>SWCA 217</w:t>
            </w:r>
          </w:p>
          <w:p w:rsidR="00944692" w:rsidRDefault="00B15D56">
            <w:pPr>
              <w:spacing w:after="0" w:line="259" w:lineRule="auto"/>
              <w:ind w:left="0" w:firstLine="0"/>
            </w:pPr>
            <w:r>
              <w:t>Equipment: A laptop computer with wireless capability or equivalent is required for all SSW classes.</w:t>
            </w:r>
          </w:p>
          <w:p w:rsidR="00944692" w:rsidRDefault="00B15D56">
            <w:pPr>
              <w:spacing w:after="0" w:line="259" w:lineRule="auto"/>
              <w:ind w:left="0" w:firstLine="0"/>
            </w:pPr>
            <w:r>
              <w:t>Blackboard: https://elearn.uta.edu/webapps/login/</w:t>
            </w:r>
          </w:p>
        </w:tc>
      </w:tr>
    </w:tbl>
    <w:p w:rsidR="00B15D56" w:rsidRDefault="00B15D56">
      <w:pPr>
        <w:pStyle w:val="Heading1"/>
        <w:ind w:left="-5" w:right="99"/>
      </w:pPr>
    </w:p>
    <w:p w:rsidR="00944692" w:rsidRDefault="00B15D56">
      <w:pPr>
        <w:pStyle w:val="Heading1"/>
        <w:ind w:left="-5" w:right="99"/>
      </w:pPr>
      <w:r>
        <w:t>A. Description of Course Content</w:t>
      </w:r>
    </w:p>
    <w:p w:rsidR="00944692" w:rsidRDefault="00B15D56">
      <w:pPr>
        <w:spacing w:after="4"/>
        <w:ind w:left="-5"/>
      </w:pPr>
      <w:r>
        <w:t>Theories and methodologies of social work assessment, case management, and other generalist intervention at the individual, family, and group levels in diverse settings. This course is required for Social Work Field</w:t>
      </w:r>
    </w:p>
    <w:p w:rsidR="00944692" w:rsidRDefault="00B15D56">
      <w:pPr>
        <w:ind w:left="-5"/>
      </w:pPr>
      <w:r>
        <w:t>Instruction I (SOCW 4451). Prerequisite: SOCW 2311, SOCW 2313, SOCW 3301, and SOCW 3302. BSW majors only.</w:t>
      </w:r>
    </w:p>
    <w:p w:rsidR="00E83599" w:rsidRDefault="00E83599">
      <w:pPr>
        <w:ind w:left="-5"/>
      </w:pPr>
    </w:p>
    <w:p w:rsidR="00944692" w:rsidRDefault="00B15D56">
      <w:pPr>
        <w:pStyle w:val="Heading1"/>
        <w:ind w:left="-5" w:right="99"/>
      </w:pPr>
      <w:r>
        <w:t>B. Student Learning Outcomes</w:t>
      </w:r>
    </w:p>
    <w:p w:rsidR="00944692" w:rsidRDefault="00B15D56">
      <w:pPr>
        <w:spacing w:after="232"/>
        <w:ind w:left="-5" w:right="99"/>
        <w:jc w:val="both"/>
      </w:pPr>
      <w:r>
        <w:rPr>
          <w:b/>
        </w:rPr>
        <w:t>Educational Policy 2.1.1 - Identify as a professional social worker and conduct oneself accordingly.</w:t>
      </w:r>
    </w:p>
    <w:p w:rsidR="00944692" w:rsidRDefault="00B15D56">
      <w:pPr>
        <w:ind w:left="-5"/>
      </w:pPr>
      <w:r>
        <w:t>Social workers serve as representatives of the profession, its mission, and its core values. They know the profession’s history. Social workers commit themselves to the profession’s enhancement and to their own professional conduct and growth. Social workers</w:t>
      </w:r>
    </w:p>
    <w:p w:rsidR="00944692" w:rsidRDefault="00B15D56">
      <w:pPr>
        <w:numPr>
          <w:ilvl w:val="0"/>
          <w:numId w:val="1"/>
        </w:numPr>
        <w:spacing w:after="8"/>
        <w:ind w:hanging="149"/>
      </w:pPr>
      <w:r>
        <w:t>advocate for client access to the services of social work;</w:t>
      </w:r>
    </w:p>
    <w:p w:rsidR="00944692" w:rsidRDefault="00B15D56">
      <w:pPr>
        <w:numPr>
          <w:ilvl w:val="0"/>
          <w:numId w:val="1"/>
        </w:numPr>
        <w:spacing w:after="8"/>
        <w:ind w:hanging="149"/>
      </w:pPr>
      <w:r>
        <w:t>practice personal reflection and self-correction to assure continual professional development;</w:t>
      </w:r>
    </w:p>
    <w:p w:rsidR="00944692" w:rsidRDefault="00B15D56">
      <w:pPr>
        <w:numPr>
          <w:ilvl w:val="0"/>
          <w:numId w:val="1"/>
        </w:numPr>
        <w:spacing w:after="8"/>
        <w:ind w:hanging="149"/>
      </w:pPr>
      <w:r>
        <w:t>attend to professional roles and boundaries;</w:t>
      </w:r>
    </w:p>
    <w:p w:rsidR="00944692" w:rsidRDefault="00B15D56">
      <w:pPr>
        <w:numPr>
          <w:ilvl w:val="0"/>
          <w:numId w:val="1"/>
        </w:numPr>
        <w:spacing w:after="9"/>
        <w:ind w:hanging="149"/>
      </w:pPr>
      <w:r>
        <w:t>demonstrate professional demeanor in behavior, appearance, and communication;</w:t>
      </w:r>
    </w:p>
    <w:p w:rsidR="00944692" w:rsidRDefault="00B15D56">
      <w:pPr>
        <w:numPr>
          <w:ilvl w:val="0"/>
          <w:numId w:val="1"/>
        </w:numPr>
        <w:spacing w:after="9"/>
        <w:ind w:hanging="149"/>
      </w:pPr>
      <w:r>
        <w:t>engage in career-long learning; and</w:t>
      </w:r>
    </w:p>
    <w:p w:rsidR="00944692" w:rsidRDefault="00B15D56">
      <w:pPr>
        <w:numPr>
          <w:ilvl w:val="0"/>
          <w:numId w:val="1"/>
        </w:numPr>
        <w:spacing w:after="251"/>
        <w:ind w:hanging="149"/>
      </w:pPr>
      <w:r>
        <w:t>use supervision and co</w:t>
      </w:r>
      <w:r w:rsidR="00977827">
        <w:t>n</w:t>
      </w:r>
      <w:r>
        <w:t>sultation</w:t>
      </w:r>
    </w:p>
    <w:p w:rsidR="00944692" w:rsidRDefault="00B15D56">
      <w:pPr>
        <w:spacing w:after="224" w:line="275" w:lineRule="auto"/>
        <w:ind w:left="-5" w:right="250"/>
        <w:jc w:val="both"/>
      </w:pPr>
      <w:r>
        <w:rPr>
          <w:b/>
        </w:rPr>
        <w:t xml:space="preserve">Educational Policy 2.1.3 - Apply critical thinking to inform and communicate professional judgments. </w:t>
      </w:r>
      <w:r>
        <w:t xml:space="preserve">Social workers are knowledgeable about the principles of logic, scientific inquiry, and reasoned discernment. They use critical thinking </w:t>
      </w:r>
      <w:r>
        <w:lastRenderedPageBreak/>
        <w:t>augmented by creativity and curiosity. Critical thinking also requires the synthesis and communication of relevant information. Social workers</w:t>
      </w:r>
    </w:p>
    <w:p w:rsidR="00944692" w:rsidRDefault="00B15D56">
      <w:pPr>
        <w:numPr>
          <w:ilvl w:val="0"/>
          <w:numId w:val="1"/>
        </w:numPr>
        <w:spacing w:after="20"/>
        <w:ind w:hanging="149"/>
      </w:pPr>
      <w:r>
        <w:t>distinguish, appraise, and integrate multiple sources of knowledge, including research-based knowledge, and practice wisdom;</w:t>
      </w:r>
    </w:p>
    <w:p w:rsidR="00944692" w:rsidRDefault="00B15D56">
      <w:pPr>
        <w:numPr>
          <w:ilvl w:val="0"/>
          <w:numId w:val="1"/>
        </w:numPr>
        <w:spacing w:after="8"/>
        <w:ind w:hanging="149"/>
      </w:pPr>
      <w:r>
        <w:t>analyze models of assessment, prevention, intervention, and evaluation; and</w:t>
      </w:r>
    </w:p>
    <w:p w:rsidR="00944692" w:rsidRDefault="00B15D56">
      <w:pPr>
        <w:numPr>
          <w:ilvl w:val="0"/>
          <w:numId w:val="1"/>
        </w:numPr>
        <w:ind w:hanging="149"/>
      </w:pPr>
      <w:proofErr w:type="gramStart"/>
      <w:r>
        <w:t>demonstrate</w:t>
      </w:r>
      <w:proofErr w:type="gramEnd"/>
      <w:r>
        <w:t xml:space="preserve"> effective oral and written communication in working with individuals, families, groups, organizations, communities, and colleagues.</w:t>
      </w:r>
    </w:p>
    <w:p w:rsidR="00944692" w:rsidRDefault="00B15D56">
      <w:pPr>
        <w:ind w:left="-5"/>
      </w:pPr>
      <w:r>
        <w:rPr>
          <w:b/>
        </w:rPr>
        <w:t xml:space="preserve">Educational Policy 2.1.5 - Advance human rights and social and economic justice. </w:t>
      </w:r>
      <w: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w:t>
      </w:r>
    </w:p>
    <w:p w:rsidR="00944692" w:rsidRDefault="00B15D56">
      <w:pPr>
        <w:numPr>
          <w:ilvl w:val="0"/>
          <w:numId w:val="1"/>
        </w:numPr>
        <w:ind w:hanging="149"/>
      </w:pPr>
      <w:proofErr w:type="gramStart"/>
      <w:r>
        <w:t>understand</w:t>
      </w:r>
      <w:proofErr w:type="gramEnd"/>
      <w:r>
        <w:t xml:space="preserve"> the forms and mechanisms of oppression and discrimination; </w:t>
      </w:r>
      <w:r>
        <w:rPr>
          <w:rFonts w:ascii="Segoe UI Symbol" w:eastAsia="Segoe UI Symbol" w:hAnsi="Segoe UI Symbol" w:cs="Segoe UI Symbol"/>
          <w:sz w:val="8"/>
        </w:rPr>
        <w:t xml:space="preserve">● </w:t>
      </w:r>
      <w:r>
        <w:t xml:space="preserve">advocate for human rights and social and economic justice; and </w:t>
      </w:r>
      <w:r>
        <w:rPr>
          <w:rFonts w:ascii="Segoe UI Symbol" w:eastAsia="Segoe UI Symbol" w:hAnsi="Segoe UI Symbol" w:cs="Segoe UI Symbol"/>
          <w:sz w:val="8"/>
        </w:rPr>
        <w:t xml:space="preserve">● </w:t>
      </w:r>
      <w:r>
        <w:t xml:space="preserve">engage in practices that advance social and economic justice. </w:t>
      </w:r>
    </w:p>
    <w:p w:rsidR="00944692" w:rsidRDefault="00B15D56">
      <w:pPr>
        <w:spacing w:after="224" w:line="275" w:lineRule="auto"/>
        <w:ind w:left="-5" w:right="12"/>
        <w:jc w:val="both"/>
      </w:pPr>
      <w:r>
        <w:rPr>
          <w:b/>
        </w:rPr>
        <w:t xml:space="preserve">Educational Policy 2.1.6 - Engage in research-informed practice and practice-informed research. </w:t>
      </w: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944692" w:rsidRDefault="00B15D56">
      <w:pPr>
        <w:numPr>
          <w:ilvl w:val="0"/>
          <w:numId w:val="1"/>
        </w:numPr>
        <w:ind w:hanging="149"/>
      </w:pPr>
      <w:proofErr w:type="gramStart"/>
      <w:r>
        <w:t>use</w:t>
      </w:r>
      <w:proofErr w:type="gramEnd"/>
      <w:r>
        <w:t xml:space="preserve"> practice experience to inform scientific inquiry and </w:t>
      </w:r>
      <w:r>
        <w:rPr>
          <w:rFonts w:ascii="Segoe UI Symbol" w:eastAsia="Segoe UI Symbol" w:hAnsi="Segoe UI Symbol" w:cs="Segoe UI Symbol"/>
          <w:sz w:val="8"/>
        </w:rPr>
        <w:t xml:space="preserve">● </w:t>
      </w:r>
      <w:r>
        <w:t>use research evidence to inform practice.</w:t>
      </w:r>
    </w:p>
    <w:p w:rsidR="00944692" w:rsidRDefault="00B15D56">
      <w:pPr>
        <w:spacing w:after="224" w:line="275" w:lineRule="auto"/>
        <w:ind w:left="-5" w:right="124"/>
        <w:jc w:val="both"/>
      </w:pPr>
      <w:r>
        <w:rPr>
          <w:b/>
        </w:rPr>
        <w:t xml:space="preserve">Educational Policy 2.1.7 - Apply knowledge of human behavior and the social environment. </w:t>
      </w:r>
      <w: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rsidR="00944692" w:rsidRDefault="00B15D56">
      <w:pPr>
        <w:numPr>
          <w:ilvl w:val="0"/>
          <w:numId w:val="1"/>
        </w:numPr>
        <w:spacing w:after="8"/>
        <w:ind w:hanging="149"/>
      </w:pPr>
      <w:r>
        <w:t>utilize conceptual frameworks to guide the processes of assessment, intervention, and evaluation; and</w:t>
      </w:r>
    </w:p>
    <w:p w:rsidR="00944692" w:rsidRDefault="00B15D56">
      <w:pPr>
        <w:numPr>
          <w:ilvl w:val="0"/>
          <w:numId w:val="1"/>
        </w:numPr>
        <w:spacing w:after="250"/>
        <w:ind w:hanging="149"/>
      </w:pPr>
      <w:r>
        <w:t>critique and apply knowledge to understand person and environment</w:t>
      </w:r>
    </w:p>
    <w:p w:rsidR="00944692" w:rsidRDefault="00B15D56">
      <w:pPr>
        <w:ind w:left="-5"/>
      </w:pPr>
      <w:r>
        <w:rPr>
          <w:b/>
        </w:rPr>
        <w:t xml:space="preserve">Educational Policy 2.1.10(a-d) - Engage, assess, intervene, and evaluate with individuals, families, groups, organizations, and communities. </w:t>
      </w:r>
      <w: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944692" w:rsidRDefault="00B15D56">
      <w:pPr>
        <w:pStyle w:val="Heading1"/>
        <w:ind w:left="-5" w:right="99"/>
      </w:pPr>
      <w:r>
        <w:t xml:space="preserve">Educational Policy 2.1.10(a) - Engagement </w:t>
      </w:r>
      <w:r>
        <w:rPr>
          <w:b w:val="0"/>
        </w:rPr>
        <w:t>Social workers</w:t>
      </w:r>
    </w:p>
    <w:p w:rsidR="00944692" w:rsidRDefault="00B15D56">
      <w:pPr>
        <w:numPr>
          <w:ilvl w:val="0"/>
          <w:numId w:val="2"/>
        </w:numPr>
        <w:spacing w:after="20"/>
        <w:ind w:hanging="149"/>
      </w:pPr>
      <w:r>
        <w:t>substantively and affectively prepare for action with individuals, families, groups, organizations, and communities;</w:t>
      </w:r>
    </w:p>
    <w:p w:rsidR="00944692" w:rsidRDefault="00B15D56">
      <w:pPr>
        <w:numPr>
          <w:ilvl w:val="0"/>
          <w:numId w:val="2"/>
        </w:numPr>
        <w:spacing w:after="9"/>
        <w:ind w:hanging="149"/>
      </w:pPr>
      <w:r>
        <w:t>use empathy and other interpersonal skills; and</w:t>
      </w:r>
    </w:p>
    <w:p w:rsidR="00944692" w:rsidRDefault="00B15D56">
      <w:pPr>
        <w:numPr>
          <w:ilvl w:val="0"/>
          <w:numId w:val="2"/>
        </w:numPr>
        <w:spacing w:after="250"/>
        <w:ind w:hanging="149"/>
      </w:pPr>
      <w:proofErr w:type="gramStart"/>
      <w:r>
        <w:t>develop</w:t>
      </w:r>
      <w:proofErr w:type="gramEnd"/>
      <w:r>
        <w:t xml:space="preserve"> a mutually agreed-on focus of work and desired outcomes.</w:t>
      </w:r>
    </w:p>
    <w:p w:rsidR="00944692" w:rsidRDefault="00B15D56">
      <w:pPr>
        <w:pStyle w:val="Heading1"/>
        <w:ind w:left="-5" w:right="99"/>
      </w:pPr>
      <w:r>
        <w:t xml:space="preserve">Educational Policy 2.1.10(b) - Assessment </w:t>
      </w:r>
      <w:r>
        <w:rPr>
          <w:b w:val="0"/>
        </w:rPr>
        <w:t>Social workers</w:t>
      </w:r>
    </w:p>
    <w:p w:rsidR="00944692" w:rsidRDefault="00B15D56">
      <w:pPr>
        <w:numPr>
          <w:ilvl w:val="0"/>
          <w:numId w:val="3"/>
        </w:numPr>
        <w:spacing w:after="9"/>
        <w:ind w:hanging="149"/>
      </w:pPr>
      <w:r>
        <w:t>collect, organize, and interpret client data;</w:t>
      </w:r>
    </w:p>
    <w:p w:rsidR="00944692" w:rsidRDefault="00B15D56">
      <w:pPr>
        <w:numPr>
          <w:ilvl w:val="0"/>
          <w:numId w:val="3"/>
        </w:numPr>
        <w:ind w:hanging="149"/>
      </w:pPr>
      <w:r>
        <w:t>assess client strengths and challenges;</w:t>
      </w:r>
    </w:p>
    <w:p w:rsidR="00944692" w:rsidRDefault="00B15D56">
      <w:pPr>
        <w:numPr>
          <w:ilvl w:val="0"/>
          <w:numId w:val="3"/>
        </w:numPr>
        <w:ind w:hanging="149"/>
      </w:pPr>
      <w:proofErr w:type="gramStart"/>
      <w:r>
        <w:t>develop</w:t>
      </w:r>
      <w:proofErr w:type="gramEnd"/>
      <w:r>
        <w:t xml:space="preserve"> mutually agreed-on intervention goals and objectives; and </w:t>
      </w:r>
      <w:r>
        <w:rPr>
          <w:rFonts w:ascii="Segoe UI Symbol" w:eastAsia="Segoe UI Symbol" w:hAnsi="Segoe UI Symbol" w:cs="Segoe UI Symbol"/>
          <w:sz w:val="8"/>
        </w:rPr>
        <w:t xml:space="preserve">● </w:t>
      </w:r>
      <w:r>
        <w:t>select appropriate intervention strategies.</w:t>
      </w:r>
    </w:p>
    <w:p w:rsidR="00944692" w:rsidRDefault="00B15D56">
      <w:pPr>
        <w:pStyle w:val="Heading1"/>
        <w:ind w:left="-5" w:right="99"/>
      </w:pPr>
      <w:r>
        <w:lastRenderedPageBreak/>
        <w:t xml:space="preserve">Educational Policy 2.1.10(c) - Intervention </w:t>
      </w:r>
      <w:r>
        <w:rPr>
          <w:b w:val="0"/>
        </w:rPr>
        <w:t>Social workers</w:t>
      </w:r>
    </w:p>
    <w:p w:rsidR="00944692" w:rsidRDefault="00B15D56">
      <w:pPr>
        <w:numPr>
          <w:ilvl w:val="0"/>
          <w:numId w:val="4"/>
        </w:numPr>
        <w:spacing w:after="9"/>
        <w:ind w:hanging="149"/>
      </w:pPr>
      <w:r>
        <w:t>initiate actions to achieve organizational goals;</w:t>
      </w:r>
    </w:p>
    <w:p w:rsidR="00944692" w:rsidRDefault="00B15D56">
      <w:pPr>
        <w:numPr>
          <w:ilvl w:val="0"/>
          <w:numId w:val="4"/>
        </w:numPr>
        <w:spacing w:after="9"/>
        <w:ind w:hanging="149"/>
      </w:pPr>
      <w:r>
        <w:t>implement prevention interventions that enhance client capacities;</w:t>
      </w:r>
    </w:p>
    <w:p w:rsidR="00944692" w:rsidRDefault="00B15D56">
      <w:pPr>
        <w:numPr>
          <w:ilvl w:val="0"/>
          <w:numId w:val="4"/>
        </w:numPr>
        <w:spacing w:after="9"/>
        <w:ind w:hanging="149"/>
      </w:pPr>
      <w:r>
        <w:t>help clients resolve problems;</w:t>
      </w:r>
    </w:p>
    <w:p w:rsidR="00944692" w:rsidRDefault="00B15D56">
      <w:pPr>
        <w:numPr>
          <w:ilvl w:val="0"/>
          <w:numId w:val="4"/>
        </w:numPr>
        <w:ind w:hanging="149"/>
      </w:pPr>
      <w:proofErr w:type="gramStart"/>
      <w:r>
        <w:t>negotiate</w:t>
      </w:r>
      <w:proofErr w:type="gramEnd"/>
      <w:r>
        <w:t xml:space="preserve">, mediate, and advocate for clients; and </w:t>
      </w:r>
      <w:r>
        <w:rPr>
          <w:rFonts w:ascii="Segoe UI Symbol" w:eastAsia="Segoe UI Symbol" w:hAnsi="Segoe UI Symbol" w:cs="Segoe UI Symbol"/>
          <w:sz w:val="8"/>
        </w:rPr>
        <w:t xml:space="preserve">● </w:t>
      </w:r>
      <w:r>
        <w:t>facilitate transitions and endings.</w:t>
      </w:r>
    </w:p>
    <w:p w:rsidR="00944692" w:rsidRDefault="00B15D56">
      <w:pPr>
        <w:pStyle w:val="Heading1"/>
        <w:ind w:left="-5" w:right="99"/>
      </w:pPr>
      <w:r>
        <w:t xml:space="preserve">Educational Policy 2.1.10(d) - Evaluation </w:t>
      </w:r>
      <w:r>
        <w:rPr>
          <w:b w:val="0"/>
        </w:rPr>
        <w:t>Social workers</w:t>
      </w:r>
    </w:p>
    <w:p w:rsidR="00944692" w:rsidRDefault="00B15D56">
      <w:pPr>
        <w:numPr>
          <w:ilvl w:val="0"/>
          <w:numId w:val="5"/>
        </w:numPr>
        <w:spacing w:after="12"/>
        <w:ind w:hanging="149"/>
      </w:pPr>
      <w:r>
        <w:t>critically analyze;</w:t>
      </w:r>
    </w:p>
    <w:p w:rsidR="00944692" w:rsidRDefault="00B15D56">
      <w:pPr>
        <w:numPr>
          <w:ilvl w:val="0"/>
          <w:numId w:val="5"/>
        </w:numPr>
        <w:spacing w:after="12"/>
        <w:ind w:hanging="149"/>
      </w:pPr>
      <w:r>
        <w:t>monitor; and</w:t>
      </w:r>
    </w:p>
    <w:p w:rsidR="00944692" w:rsidRDefault="00B15D56">
      <w:pPr>
        <w:numPr>
          <w:ilvl w:val="0"/>
          <w:numId w:val="5"/>
        </w:numPr>
        <w:spacing w:after="251"/>
        <w:ind w:hanging="149"/>
      </w:pPr>
      <w:proofErr w:type="gramStart"/>
      <w:r>
        <w:t>evaluate</w:t>
      </w:r>
      <w:proofErr w:type="gramEnd"/>
      <w:r>
        <w:t xml:space="preserve"> interventions.</w:t>
      </w:r>
    </w:p>
    <w:p w:rsidR="00E83599" w:rsidRDefault="00E83599" w:rsidP="00E83599">
      <w:pPr>
        <w:spacing w:after="251"/>
        <w:ind w:left="0" w:firstLine="0"/>
      </w:pPr>
    </w:p>
    <w:p w:rsidR="00944692" w:rsidRDefault="00B15D56">
      <w:pPr>
        <w:pStyle w:val="Heading1"/>
        <w:ind w:left="-5" w:right="99"/>
      </w:pPr>
      <w:r>
        <w:t>C. Required Textbooks and Other Course Materials</w:t>
      </w:r>
    </w:p>
    <w:p w:rsidR="00944692" w:rsidRDefault="00B15D56">
      <w:pPr>
        <w:spacing w:after="287"/>
        <w:ind w:left="-5"/>
      </w:pPr>
      <w:proofErr w:type="spellStart"/>
      <w:r>
        <w:t>Cournoyer</w:t>
      </w:r>
      <w:proofErr w:type="spellEnd"/>
      <w:r>
        <w:t xml:space="preserve">, B. (2017). </w:t>
      </w:r>
      <w:r>
        <w:rPr>
          <w:i/>
        </w:rPr>
        <w:t xml:space="preserve">The social work skills workbook, </w:t>
      </w:r>
      <w:r>
        <w:t>8th edition. Boston: Cengage Learning.</w:t>
      </w:r>
    </w:p>
    <w:p w:rsidR="00944692" w:rsidRDefault="00B15D56">
      <w:pPr>
        <w:ind w:left="-5"/>
      </w:pPr>
      <w:r>
        <w:t>And one of the following:</w:t>
      </w:r>
    </w:p>
    <w:p w:rsidR="00944692" w:rsidRDefault="00B15D56">
      <w:pPr>
        <w:spacing w:after="284"/>
        <w:ind w:left="-5"/>
      </w:pPr>
      <w:r>
        <w:t xml:space="preserve">Hepworth, D.H., Rooney, R., Rooney, G. D., and Strom-Gottfried, K. (2013). </w:t>
      </w:r>
      <w:r>
        <w:rPr>
          <w:i/>
        </w:rPr>
        <w:t>Direct social work practice: Theory and skills</w:t>
      </w:r>
      <w:r>
        <w:t>, 9th edition. Boston: Cengage Learning.</w:t>
      </w:r>
    </w:p>
    <w:p w:rsidR="00944692" w:rsidRDefault="00B15D56">
      <w:pPr>
        <w:spacing w:after="287"/>
        <w:ind w:left="-5"/>
      </w:pPr>
      <w:r>
        <w:t>OR</w:t>
      </w:r>
    </w:p>
    <w:p w:rsidR="00944692" w:rsidRDefault="00B15D56">
      <w:pPr>
        <w:ind w:left="-5"/>
      </w:pPr>
      <w:r>
        <w:t xml:space="preserve">Hepworth, D.H., Rooney, R.H, Rooney, G.D., and Strom-Gottfried, K. (2017).  </w:t>
      </w:r>
      <w:r>
        <w:rPr>
          <w:i/>
        </w:rPr>
        <w:t>Direct social work practice: Theory and skills</w:t>
      </w:r>
      <w:r>
        <w:t>, 10th edition. Boston: Cengage Learning.</w:t>
      </w:r>
    </w:p>
    <w:p w:rsidR="00944692" w:rsidRDefault="00B15D56">
      <w:pPr>
        <w:spacing w:after="231" w:line="267" w:lineRule="auto"/>
        <w:ind w:left="-5"/>
        <w:rPr>
          <w:i/>
        </w:rPr>
      </w:pPr>
      <w:r>
        <w:t>*</w:t>
      </w:r>
      <w:r>
        <w:rPr>
          <w:i/>
        </w:rPr>
        <w:t>Please note because these texts cover information pertinent to the social work licensing exam, we strongly encourage you to keep your textbooks.</w:t>
      </w:r>
    </w:p>
    <w:p w:rsidR="00E83599" w:rsidRDefault="00E83599">
      <w:pPr>
        <w:spacing w:after="231" w:line="267" w:lineRule="auto"/>
        <w:ind w:left="-5"/>
      </w:pPr>
    </w:p>
    <w:p w:rsidR="00944692" w:rsidRDefault="00B15D56">
      <w:pPr>
        <w:pStyle w:val="Heading1"/>
        <w:ind w:left="-5" w:right="99"/>
      </w:pPr>
      <w:r>
        <w:t>D. Additional Recommended Textbooks and Other Course Materials</w:t>
      </w:r>
    </w:p>
    <w:p w:rsidR="00944692" w:rsidRDefault="00B15D56">
      <w:pPr>
        <w:spacing w:after="284"/>
        <w:ind w:left="-5"/>
      </w:pPr>
      <w:r>
        <w:t>American Psychological Association.  (2010)</w:t>
      </w:r>
      <w:proofErr w:type="gramStart"/>
      <w:r>
        <w:t xml:space="preserve">.  </w:t>
      </w:r>
      <w:r>
        <w:rPr>
          <w:i/>
        </w:rPr>
        <w:t>Publication</w:t>
      </w:r>
      <w:proofErr w:type="gramEnd"/>
      <w:r>
        <w:rPr>
          <w:i/>
        </w:rPr>
        <w:t xml:space="preserve"> manual of the American Psychological association</w:t>
      </w:r>
      <w:r>
        <w:t>, 6th edition.  Washington, DC: Author.</w:t>
      </w:r>
    </w:p>
    <w:p w:rsidR="00944692" w:rsidRDefault="00B15D56">
      <w:pPr>
        <w:spacing w:after="284"/>
        <w:ind w:left="-5"/>
      </w:pPr>
      <w:r>
        <w:t>Jordan, C., and Franklin, C.  (Editors).  (2016)</w:t>
      </w:r>
      <w:proofErr w:type="gramStart"/>
      <w:r>
        <w:t xml:space="preserve">.  </w:t>
      </w:r>
      <w:r>
        <w:rPr>
          <w:i/>
        </w:rPr>
        <w:t>Clinical</w:t>
      </w:r>
      <w:proofErr w:type="gramEnd"/>
      <w:r>
        <w:rPr>
          <w:i/>
        </w:rPr>
        <w:t xml:space="preserve"> assessment for social workers: Quantitative and qualitative methods</w:t>
      </w:r>
      <w:r>
        <w:t>, 4th edition.  Chicago: Lyceum Books.</w:t>
      </w:r>
    </w:p>
    <w:p w:rsidR="00944692" w:rsidRDefault="00B15D56">
      <w:pPr>
        <w:spacing w:after="290" w:line="267" w:lineRule="auto"/>
        <w:ind w:left="-5"/>
      </w:pPr>
      <w:r>
        <w:t xml:space="preserve">Lukas, </w:t>
      </w:r>
      <w:r w:rsidR="00E83599">
        <w:t>S</w:t>
      </w:r>
      <w:r>
        <w:t>usan.  (1993)</w:t>
      </w:r>
      <w:proofErr w:type="gramStart"/>
      <w:r>
        <w:t xml:space="preserve">.  </w:t>
      </w:r>
      <w:r>
        <w:rPr>
          <w:i/>
        </w:rPr>
        <w:t>Where</w:t>
      </w:r>
      <w:proofErr w:type="gramEnd"/>
      <w:r>
        <w:rPr>
          <w:i/>
        </w:rPr>
        <w:t xml:space="preserve"> to start and what to ask: An assessment handbook.</w:t>
      </w:r>
      <w:r>
        <w:t xml:space="preserve">  New York: Norton.</w:t>
      </w:r>
    </w:p>
    <w:p w:rsidR="00944692" w:rsidRDefault="00B15D56">
      <w:pPr>
        <w:spacing w:after="287"/>
        <w:ind w:left="-5"/>
      </w:pPr>
      <w:r>
        <w:t>Martin, Ruben.  (2010)</w:t>
      </w:r>
      <w:proofErr w:type="gramStart"/>
      <w:r>
        <w:t xml:space="preserve">.  </w:t>
      </w:r>
      <w:r>
        <w:rPr>
          <w:i/>
        </w:rPr>
        <w:t>Social</w:t>
      </w:r>
      <w:proofErr w:type="gramEnd"/>
      <w:r>
        <w:rPr>
          <w:i/>
        </w:rPr>
        <w:t xml:space="preserve"> Work Assessment.</w:t>
      </w:r>
      <w:r>
        <w:t xml:space="preserve">  Exeter, UK: Learning Matters.</w:t>
      </w:r>
    </w:p>
    <w:p w:rsidR="00944692" w:rsidRDefault="00B15D56">
      <w:pPr>
        <w:ind w:left="-5"/>
      </w:pPr>
      <w:r>
        <w:t>Probst, B. (Editor).  (2015)</w:t>
      </w:r>
      <w:proofErr w:type="gramStart"/>
      <w:r>
        <w:t xml:space="preserve">.  </w:t>
      </w:r>
      <w:r>
        <w:rPr>
          <w:i/>
        </w:rPr>
        <w:t>Critical</w:t>
      </w:r>
      <w:proofErr w:type="gramEnd"/>
      <w:r>
        <w:rPr>
          <w:i/>
        </w:rPr>
        <w:t xml:space="preserve"> thinking in clinical assessment and diagnosis.</w:t>
      </w:r>
      <w:r>
        <w:t xml:space="preserve">  New York: Springer International Publishing.</w:t>
      </w:r>
    </w:p>
    <w:p w:rsidR="00E83599" w:rsidRDefault="00E83599">
      <w:pPr>
        <w:ind w:left="-5"/>
      </w:pPr>
    </w:p>
    <w:p w:rsidR="00944692" w:rsidRDefault="00B15D56">
      <w:pPr>
        <w:spacing w:after="232"/>
        <w:ind w:left="-5" w:right="99"/>
        <w:jc w:val="both"/>
      </w:pPr>
      <w:r>
        <w:rPr>
          <w:b/>
        </w:rPr>
        <w:t>E. Descriptions of Major Assignments and Examinations</w:t>
      </w:r>
    </w:p>
    <w:p w:rsidR="00944692" w:rsidRDefault="00B15D56">
      <w:pPr>
        <w:pStyle w:val="Heading1"/>
        <w:ind w:left="-5" w:right="99"/>
      </w:pPr>
      <w:r>
        <w:t xml:space="preserve">Character Strengths Assignment – 10 pts </w:t>
      </w:r>
    </w:p>
    <w:p w:rsidR="00944692" w:rsidRDefault="00B15D56">
      <w:pPr>
        <w:ind w:left="-5"/>
      </w:pPr>
      <w:r>
        <w:t>What are your strengths as a person and soon to be social worker? You are to go to viacharacter.org and fill in “take the survey”. Take your top signature strength and answer the following five questions in no more than 4 pages:</w:t>
      </w:r>
    </w:p>
    <w:p w:rsidR="00944692" w:rsidRDefault="00B15D56">
      <w:pPr>
        <w:numPr>
          <w:ilvl w:val="0"/>
          <w:numId w:val="6"/>
        </w:numPr>
        <w:spacing w:after="20"/>
        <w:ind w:hanging="257"/>
      </w:pPr>
      <w:r>
        <w:lastRenderedPageBreak/>
        <w:t>What is the history and development of this strength?</w:t>
      </w:r>
    </w:p>
    <w:p w:rsidR="00944692" w:rsidRDefault="00B15D56">
      <w:pPr>
        <w:numPr>
          <w:ilvl w:val="0"/>
          <w:numId w:val="6"/>
        </w:numPr>
        <w:spacing w:after="15"/>
        <w:ind w:hanging="257"/>
      </w:pPr>
      <w:r>
        <w:t>Provide details about how you put this strength into every day practice. How will this strength sustain you in the coming semester?</w:t>
      </w:r>
    </w:p>
    <w:p w:rsidR="00944692" w:rsidRDefault="00B15D56">
      <w:pPr>
        <w:numPr>
          <w:ilvl w:val="0"/>
          <w:numId w:val="6"/>
        </w:numPr>
        <w:spacing w:after="20"/>
        <w:ind w:hanging="257"/>
      </w:pPr>
      <w:r>
        <w:t>Discuss the important people who have contributed to the development of this strength.</w:t>
      </w:r>
    </w:p>
    <w:p w:rsidR="00944692" w:rsidRDefault="00B15D56">
      <w:pPr>
        <w:numPr>
          <w:ilvl w:val="0"/>
          <w:numId w:val="6"/>
        </w:numPr>
        <w:spacing w:after="20"/>
        <w:ind w:hanging="257"/>
      </w:pPr>
      <w:r>
        <w:t>What significant meaning (if any) does this strength hold for you?</w:t>
      </w:r>
    </w:p>
    <w:p w:rsidR="00944692" w:rsidRDefault="00B15D56">
      <w:pPr>
        <w:numPr>
          <w:ilvl w:val="0"/>
          <w:numId w:val="6"/>
        </w:numPr>
        <w:ind w:hanging="257"/>
      </w:pPr>
      <w:r>
        <w:t>What are the dreams and hopes that stand behind this strength?</w:t>
      </w:r>
    </w:p>
    <w:p w:rsidR="00944692" w:rsidRDefault="00B15D56">
      <w:pPr>
        <w:ind w:left="-5"/>
      </w:pPr>
      <w:r>
        <w:t xml:space="preserve">Educational Objectives 2.1.3 </w:t>
      </w:r>
      <w:proofErr w:type="spellStart"/>
      <w:r>
        <w:t>subpoints</w:t>
      </w:r>
      <w:proofErr w:type="spellEnd"/>
      <w:r>
        <w:t xml:space="preserve"> 1</w:t>
      </w:r>
      <w:proofErr w:type="gramStart"/>
      <w:r>
        <w:t>,2,3</w:t>
      </w:r>
      <w:proofErr w:type="gramEnd"/>
    </w:p>
    <w:p w:rsidR="00944692" w:rsidRDefault="00B15D56">
      <w:pPr>
        <w:pStyle w:val="Heading1"/>
        <w:ind w:left="-5" w:right="99"/>
      </w:pPr>
      <w:r>
        <w:t>Role-plays – 0 pts</w:t>
      </w:r>
    </w:p>
    <w:p w:rsidR="00944692" w:rsidRDefault="00B15D56">
      <w:pPr>
        <w:ind w:left="-5"/>
      </w:pPr>
      <w:r>
        <w:t xml:space="preserve">On a number of occasions throughout the semester, you will meet in groups of three to practice skills learned in class and in assigned readings. You will take turns being the social worker and the client. Students are expected to participate fully as part of their class participation. The goal of these exercises is for you to become increasingly comfortable with yourself, to improve your skills and to learn from others. As an observer, I want you to gain insight into what is NOT said as much as what is said, and to notice when the body language of the role players does not match what they are saying. </w:t>
      </w:r>
      <w:r>
        <w:rPr>
          <w:i/>
        </w:rPr>
        <w:t>The role-plays will not be graded; however, participation in the exercises is required as part of your class participation grade.</w:t>
      </w:r>
    </w:p>
    <w:p w:rsidR="00944692" w:rsidRDefault="00B15D56">
      <w:pPr>
        <w:pStyle w:val="Heading1"/>
        <w:ind w:left="-5" w:right="99"/>
      </w:pPr>
      <w:r>
        <w:rPr>
          <w:b w:val="0"/>
        </w:rPr>
        <w:t xml:space="preserve"> </w:t>
      </w:r>
      <w:r>
        <w:t>EXAMS (2) 100 pts each</w:t>
      </w:r>
    </w:p>
    <w:p w:rsidR="00944692" w:rsidRDefault="00B15D56">
      <w:pPr>
        <w:ind w:left="-5"/>
      </w:pPr>
      <w:r>
        <w:t xml:space="preserve">Two exams will be given during the semester. One will cover the first half of the class material; the second will cover the second half of the class. Exam material will come from lectures, assigned readings, and any handouts given in class. The exams will be posted on Blackboard, and you will have limited time to complete the exams. While they are done on your computer wherever you are, they are </w:t>
      </w:r>
      <w:r>
        <w:rPr>
          <w:b/>
          <w:i/>
        </w:rPr>
        <w:t>NOT</w:t>
      </w:r>
      <w:r>
        <w:t xml:space="preserve"> "open book"; you will not have time to consult your reading material or class notes.  </w:t>
      </w:r>
      <w:proofErr w:type="spellStart"/>
      <w:r>
        <w:t>Sudying</w:t>
      </w:r>
      <w:proofErr w:type="spellEnd"/>
      <w:r>
        <w:t xml:space="preserve"> the material before you sign on to the system to complete the exam is the best choice. The Blackboard links will be open for one week, but you will have only one attempt. This means you can write the exam whenever you want within that window, but if you do not study beforehand, you will not do as well.  There will be </w:t>
      </w:r>
      <w:r>
        <w:rPr>
          <w:b/>
          <w:i/>
        </w:rPr>
        <w:t>NO</w:t>
      </w:r>
      <w:r>
        <w:t xml:space="preserve"> make-up exams.</w:t>
      </w:r>
    </w:p>
    <w:p w:rsidR="00944692" w:rsidRDefault="00B15D56">
      <w:pPr>
        <w:spacing w:after="8"/>
        <w:ind w:left="-5" w:right="99"/>
        <w:jc w:val="both"/>
      </w:pPr>
      <w:r>
        <w:rPr>
          <w:b/>
        </w:rPr>
        <w:t xml:space="preserve">Addresses the following Core Competencies (Skills and Behaviors): </w:t>
      </w:r>
      <w:r>
        <w:t>Educational Policy 2.1.2(a, b, c, d)</w:t>
      </w:r>
    </w:p>
    <w:p w:rsidR="00944692" w:rsidRDefault="00B15D56">
      <w:pPr>
        <w:ind w:left="-5"/>
      </w:pPr>
      <w:r>
        <w:t>Educational Policy 2.1.3(a, b, c) 2.1.6(a) Educational Policy 2.1.7(a)</w:t>
      </w:r>
    </w:p>
    <w:p w:rsidR="00944692" w:rsidRDefault="00B15D56">
      <w:pPr>
        <w:pStyle w:val="Heading1"/>
        <w:ind w:left="-5" w:right="99"/>
      </w:pPr>
      <w:r>
        <w:t>Biopsychosocial Assessment – 100 pts</w:t>
      </w:r>
    </w:p>
    <w:p w:rsidR="00944692" w:rsidRDefault="00B15D56">
      <w:pPr>
        <w:ind w:left="-5"/>
      </w:pPr>
      <w:r>
        <w:t>Students will complete a biopsychosocial of an individual of their choosing. A biopsychosocial history is a comprehensive assessment of an individual. The assessment does not have a specific length, but should not exceed 10 double-spaced pages. It is expected that you will complete the assessment fully and in a professional manner. This includes paragraph form (no bullet points), complete descriptions, and using formal writing (without contractions, slang, etc.). This assignment will also have a reflective component in which you will evaluate how well you were able to engage the client and use the interviewing skills studied in class.</w:t>
      </w:r>
    </w:p>
    <w:p w:rsidR="00944692" w:rsidRDefault="00B15D56">
      <w:pPr>
        <w:ind w:left="-5"/>
      </w:pPr>
      <w:r>
        <w:t>Grading Criteria: This will be based on completeness of the information gathered, clarity of writing, and applicability of the intervention(s) recommended.</w:t>
      </w:r>
    </w:p>
    <w:p w:rsidR="00944692" w:rsidRDefault="00B15D56">
      <w:pPr>
        <w:ind w:left="-5"/>
      </w:pPr>
      <w:r>
        <w:t>Learning Objectives Addressed: The purpose of this assignment is for students to begin the process of conceptualizing the initial assessment process in terms of, (a) knowing what information is required in a biopsychosocial assessment; (b) the process of actually interviewing someone with the view to gathering said information; and (c) organizing that information in a way that allows for making recommendations about interventions.</w:t>
      </w:r>
    </w:p>
    <w:p w:rsidR="00944692" w:rsidRDefault="00B15D56">
      <w:pPr>
        <w:ind w:left="-5"/>
      </w:pPr>
      <w:r>
        <w:rPr>
          <w:b/>
        </w:rPr>
        <w:t xml:space="preserve">Addresses the following Core Competencies (Skills and Behaviors): </w:t>
      </w:r>
      <w:r>
        <w:t xml:space="preserve">Educational Policy 2.1.7 </w:t>
      </w:r>
      <w:proofErr w:type="spellStart"/>
      <w:r>
        <w:t>subpoint</w:t>
      </w:r>
      <w:proofErr w:type="spellEnd"/>
      <w:r>
        <w:t xml:space="preserve"> 1 and Educational Policy 2.1.10(b) </w:t>
      </w:r>
      <w:proofErr w:type="spellStart"/>
      <w:r>
        <w:t>subpoint</w:t>
      </w:r>
      <w:proofErr w:type="spellEnd"/>
      <w:r>
        <w:t xml:space="preserve"> 1-4</w:t>
      </w:r>
    </w:p>
    <w:p w:rsidR="00B15D56" w:rsidRDefault="00B15D56">
      <w:pPr>
        <w:spacing w:after="160" w:line="259" w:lineRule="auto"/>
        <w:ind w:left="0" w:firstLine="0"/>
        <w:rPr>
          <w:b/>
        </w:rPr>
      </w:pPr>
      <w:r>
        <w:br w:type="page"/>
      </w:r>
    </w:p>
    <w:p w:rsidR="00944692" w:rsidRDefault="00B15D56">
      <w:pPr>
        <w:pStyle w:val="Heading1"/>
        <w:ind w:left="-5" w:right="99"/>
      </w:pPr>
      <w:r>
        <w:lastRenderedPageBreak/>
        <w:t>PAPERS – GENERAL INFORMATION AND EXPECTATIONS</w:t>
      </w:r>
    </w:p>
    <w:p w:rsidR="00944692" w:rsidRDefault="00B15D56">
      <w:pPr>
        <w:ind w:left="-5"/>
      </w:pPr>
      <w:r>
        <w:t xml:space="preserve">All papers must follow APA guidelines. </w:t>
      </w:r>
      <w:r>
        <w:rPr>
          <w:b/>
        </w:rPr>
        <w:t xml:space="preserve">At a minimum </w:t>
      </w:r>
      <w:r>
        <w:t>this means:</w:t>
      </w:r>
    </w:p>
    <w:p w:rsidR="00944692" w:rsidRDefault="00B15D56">
      <w:pPr>
        <w:numPr>
          <w:ilvl w:val="0"/>
          <w:numId w:val="7"/>
        </w:numPr>
        <w:spacing w:after="20"/>
        <w:ind w:hanging="149"/>
      </w:pPr>
      <w:r>
        <w:t xml:space="preserve">Points will be deducted if you do not follow these guidelines. See the following website for additional help with APA format: </w:t>
      </w:r>
      <w:hyperlink r:id="rId8">
        <w:r>
          <w:rPr>
            <w:color w:val="0000FF"/>
            <w:u w:val="single" w:color="0000FF"/>
          </w:rPr>
          <w:t>http://owl.english.purdue.edu/owl/resource/560/01/</w:t>
        </w:r>
      </w:hyperlink>
    </w:p>
    <w:p w:rsidR="00944692" w:rsidRDefault="00B15D56">
      <w:pPr>
        <w:numPr>
          <w:ilvl w:val="0"/>
          <w:numId w:val="7"/>
        </w:numPr>
        <w:spacing w:after="9"/>
        <w:ind w:hanging="149"/>
      </w:pPr>
      <w:r>
        <w:rPr>
          <w:b/>
        </w:rPr>
        <w:t xml:space="preserve">Written work must be clear, concise, and grammatically correct. Deficiencies in areas such as spelling, punctuation, sentence structure, and incoherent organization will result in lower grades. As stated, plagiarism (using someone else’s words, thoughts, or ideas and claiming them as your own – i.e., using direct sentences written by others) will result in a failing grade for the </w:t>
      </w:r>
      <w:proofErr w:type="gramStart"/>
      <w:r>
        <w:rPr>
          <w:b/>
          <w:i/>
          <w:u w:val="single" w:color="000000"/>
        </w:rPr>
        <w:t xml:space="preserve">COURSE </w:t>
      </w:r>
      <w:r>
        <w:t xml:space="preserve"> not</w:t>
      </w:r>
      <w:proofErr w:type="gramEnd"/>
      <w:r>
        <w:t xml:space="preserve"> just the paper.</w:t>
      </w:r>
    </w:p>
    <w:p w:rsidR="00944692" w:rsidRDefault="00B15D56">
      <w:pPr>
        <w:numPr>
          <w:ilvl w:val="0"/>
          <w:numId w:val="7"/>
        </w:numPr>
        <w:ind w:hanging="149"/>
      </w:pPr>
      <w:r>
        <w:t>Please use formal and professional language when completing papers and assignments for this course (i.e., Why Social Work paper and Psychosocial Assessment). This includes refraining from the use of contractions (e.g., can’t, don’t, won’t, etc.).</w:t>
      </w:r>
    </w:p>
    <w:p w:rsidR="00944692" w:rsidRDefault="00B15D56">
      <w:pPr>
        <w:spacing w:after="224" w:line="275" w:lineRule="auto"/>
        <w:ind w:left="-5" w:right="609"/>
        <w:jc w:val="both"/>
        <w:rPr>
          <w:b/>
        </w:rPr>
      </w:pPr>
      <w:r>
        <w:rPr>
          <w:b/>
        </w:rPr>
        <w:t>**</w:t>
      </w:r>
      <w:r>
        <w:t xml:space="preserve">Unless otherwise indicated by the instructor, all designated assignments must be submitted through Blackboard, where they will be evaluated by Safe Assign. </w:t>
      </w:r>
      <w:r>
        <w:rPr>
          <w:b/>
        </w:rPr>
        <w:t>Hard Copies are not to be turned in</w:t>
      </w:r>
      <w:r>
        <w:t xml:space="preserve"> </w:t>
      </w:r>
      <w:r>
        <w:rPr>
          <w:b/>
        </w:rPr>
        <w:t>unless specified otherwise.</w:t>
      </w:r>
    </w:p>
    <w:p w:rsidR="00B15D56" w:rsidRDefault="00B15D56">
      <w:pPr>
        <w:spacing w:after="224" w:line="275" w:lineRule="auto"/>
        <w:ind w:left="-5" w:right="609"/>
        <w:jc w:val="both"/>
      </w:pPr>
    </w:p>
    <w:p w:rsidR="00944692" w:rsidRDefault="00B15D56">
      <w:pPr>
        <w:pStyle w:val="Heading1"/>
        <w:ind w:left="-5" w:right="99"/>
      </w:pPr>
      <w:r>
        <w:t>F. Grading</w:t>
      </w:r>
    </w:p>
    <w:p w:rsidR="00944692" w:rsidRDefault="00B15D56">
      <w:pPr>
        <w:spacing w:after="287"/>
        <w:ind w:left="-5"/>
      </w:pPr>
      <w:r>
        <w:t>Grade breakdown is as follows:</w:t>
      </w:r>
    </w:p>
    <w:p w:rsidR="00944692" w:rsidRDefault="00B15D56">
      <w:pPr>
        <w:numPr>
          <w:ilvl w:val="0"/>
          <w:numId w:val="8"/>
        </w:numPr>
        <w:spacing w:after="287"/>
        <w:ind w:hanging="299"/>
      </w:pPr>
      <w:r>
        <w:t>Character Strengths Assignment: 10 points</w:t>
      </w:r>
    </w:p>
    <w:p w:rsidR="00944692" w:rsidRDefault="00B15D56">
      <w:pPr>
        <w:numPr>
          <w:ilvl w:val="0"/>
          <w:numId w:val="8"/>
        </w:numPr>
        <w:spacing w:after="287"/>
        <w:ind w:hanging="299"/>
      </w:pPr>
      <w:r>
        <w:t>Midterm exam: 100 points</w:t>
      </w:r>
    </w:p>
    <w:p w:rsidR="00944692" w:rsidRDefault="00B15D56">
      <w:pPr>
        <w:numPr>
          <w:ilvl w:val="0"/>
          <w:numId w:val="8"/>
        </w:numPr>
        <w:spacing w:after="287"/>
        <w:ind w:hanging="299"/>
      </w:pPr>
      <w:r>
        <w:t>final exam: 100 points</w:t>
      </w:r>
    </w:p>
    <w:p w:rsidR="00977827" w:rsidRDefault="00B15D56">
      <w:pPr>
        <w:numPr>
          <w:ilvl w:val="0"/>
          <w:numId w:val="8"/>
        </w:numPr>
        <w:spacing w:after="0" w:line="551" w:lineRule="auto"/>
        <w:ind w:hanging="299"/>
      </w:pPr>
      <w:r>
        <w:t>Biopsychosocial Assessment: 100 points</w:t>
      </w:r>
    </w:p>
    <w:p w:rsidR="00944692" w:rsidRDefault="00B15D56">
      <w:pPr>
        <w:numPr>
          <w:ilvl w:val="0"/>
          <w:numId w:val="8"/>
        </w:numPr>
        <w:spacing w:after="0" w:line="551" w:lineRule="auto"/>
        <w:ind w:hanging="299"/>
      </w:pPr>
      <w:r>
        <w:t>Class Participation (see below): 15 points</w:t>
      </w:r>
    </w:p>
    <w:p w:rsidR="00944692" w:rsidRDefault="00B15D56">
      <w:pPr>
        <w:spacing w:after="7"/>
        <w:ind w:left="-5"/>
      </w:pPr>
      <w:r>
        <w:t>Total points:</w:t>
      </w:r>
    </w:p>
    <w:p w:rsidR="00944692" w:rsidRDefault="00B15D56">
      <w:pPr>
        <w:spacing w:after="7"/>
        <w:ind w:left="-5"/>
      </w:pPr>
      <w:r>
        <w:t>293 or more = A (4.0)</w:t>
      </w:r>
    </w:p>
    <w:p w:rsidR="00E83599" w:rsidRDefault="00B15D56">
      <w:pPr>
        <w:spacing w:after="4"/>
        <w:ind w:left="-5" w:right="8123"/>
      </w:pPr>
      <w:r>
        <w:t xml:space="preserve">260 - 292 = B (3.0) </w:t>
      </w:r>
    </w:p>
    <w:p w:rsidR="00944692" w:rsidRDefault="00B15D56">
      <w:pPr>
        <w:spacing w:after="4"/>
        <w:ind w:left="-5" w:right="8123"/>
      </w:pPr>
      <w:r>
        <w:t>228 - 259 = C (2.0)</w:t>
      </w:r>
    </w:p>
    <w:p w:rsidR="00944692" w:rsidRDefault="00B15D56">
      <w:pPr>
        <w:spacing w:after="7"/>
        <w:ind w:left="-5"/>
      </w:pPr>
      <w:r>
        <w:t>195 - 227 = D (1.0)</w:t>
      </w:r>
    </w:p>
    <w:p w:rsidR="00944692" w:rsidRDefault="00B15D56">
      <w:pPr>
        <w:spacing w:after="287"/>
        <w:ind w:left="-5"/>
      </w:pPr>
      <w:r>
        <w:t>194 or below = F (0.0)</w:t>
      </w:r>
    </w:p>
    <w:p w:rsidR="00944692" w:rsidRDefault="00B15D56">
      <w:pPr>
        <w:spacing w:after="284"/>
        <w:ind w:left="-5"/>
      </w:pPr>
      <w:r>
        <w:t>Please note that I do not round grades or place grades on a distribution (i.e. "curving" grades).  What you earn is what you get.</w:t>
      </w:r>
    </w:p>
    <w:p w:rsidR="00944692" w:rsidRDefault="00B15D56">
      <w:pPr>
        <w:ind w:left="-5"/>
      </w:pPr>
      <w:r>
        <w:t>The exams will be posted in Blackboard, and will be graded by the Blackboard system.</w:t>
      </w:r>
    </w:p>
    <w:p w:rsidR="00944692" w:rsidRDefault="00B15D56">
      <w:pPr>
        <w:spacing w:after="452"/>
        <w:ind w:left="-5"/>
      </w:pPr>
      <w:r>
        <w:t>Students are expected to keep track of their performance throughout the semester and seek guidance from available sources (including the instructor) if their performance drops below satisfactory levels; see "Student Support Services," below.</w:t>
      </w:r>
    </w:p>
    <w:p w:rsidR="00944692" w:rsidRDefault="00B15D56">
      <w:pPr>
        <w:spacing w:after="232"/>
        <w:ind w:left="-5" w:right="99"/>
        <w:jc w:val="both"/>
      </w:pPr>
      <w:r>
        <w:rPr>
          <w:b/>
        </w:rPr>
        <w:t>G. Make-Up Exams</w:t>
      </w:r>
    </w:p>
    <w:p w:rsidR="00944692" w:rsidRDefault="00B15D56">
      <w:pPr>
        <w:spacing w:after="7"/>
        <w:ind w:left="-5"/>
      </w:pPr>
      <w:r>
        <w:t>There will be no make-up assignments for this course.</w:t>
      </w:r>
    </w:p>
    <w:p w:rsidR="00E83599" w:rsidRDefault="00E83599">
      <w:pPr>
        <w:spacing w:after="7"/>
        <w:ind w:left="-5"/>
      </w:pPr>
    </w:p>
    <w:p w:rsidR="00E83599" w:rsidRDefault="00E83599">
      <w:pPr>
        <w:spacing w:after="7"/>
        <w:ind w:left="-5"/>
      </w:pPr>
    </w:p>
    <w:p w:rsidR="00944692" w:rsidRDefault="00B15D56">
      <w:pPr>
        <w:pStyle w:val="Heading1"/>
        <w:spacing w:after="456"/>
        <w:ind w:left="-5" w:right="99"/>
      </w:pPr>
      <w:r>
        <w:lastRenderedPageBreak/>
        <w:t>H. Attendance</w:t>
      </w:r>
    </w:p>
    <w:p w:rsidR="00944692" w:rsidRDefault="00B15D56" w:rsidP="00E83599">
      <w:pPr>
        <w:spacing w:after="224" w:line="275" w:lineRule="auto"/>
        <w:ind w:left="-5" w:right="12"/>
        <w:jc w:val="both"/>
      </w:pPr>
      <w: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As the instructor of this section</w:t>
      </w:r>
      <w:r w:rsidR="00E83599">
        <w:t xml:space="preserve">, </w:t>
      </w:r>
      <w:r>
        <w:t>each class I will pass around a sign-in sheet.  Your class participation will be partially based on whether or not you are in class; you cannot participate if you are absent.</w:t>
      </w:r>
    </w:p>
    <w:p w:rsidR="00B15D56" w:rsidRDefault="00B15D56" w:rsidP="00E83599">
      <w:pPr>
        <w:spacing w:after="224" w:line="275" w:lineRule="auto"/>
        <w:ind w:left="-5" w:right="12"/>
        <w:jc w:val="both"/>
      </w:pPr>
    </w:p>
    <w:p w:rsidR="00944692" w:rsidRPr="00B15D56" w:rsidRDefault="00B15D56" w:rsidP="00B15D56">
      <w:pPr>
        <w:spacing w:after="160" w:line="259" w:lineRule="auto"/>
        <w:ind w:left="0" w:firstLine="0"/>
        <w:rPr>
          <w:b/>
        </w:rPr>
      </w:pPr>
      <w:r w:rsidRPr="00B15D56">
        <w:rPr>
          <w:b/>
        </w:rPr>
        <w:t>I. Course Schedule</w:t>
      </w:r>
    </w:p>
    <w:tbl>
      <w:tblPr>
        <w:tblStyle w:val="TableGrid"/>
        <w:tblW w:w="10190" w:type="dxa"/>
        <w:tblInd w:w="8" w:type="dxa"/>
        <w:tblCellMar>
          <w:top w:w="121" w:type="dxa"/>
          <w:left w:w="83" w:type="dxa"/>
          <w:right w:w="83" w:type="dxa"/>
        </w:tblCellMar>
        <w:tblLook w:val="04A0" w:firstRow="1" w:lastRow="0" w:firstColumn="1" w:lastColumn="0" w:noHBand="0" w:noVBand="1"/>
      </w:tblPr>
      <w:tblGrid>
        <w:gridCol w:w="721"/>
        <w:gridCol w:w="635"/>
        <w:gridCol w:w="4817"/>
        <w:gridCol w:w="1499"/>
        <w:gridCol w:w="2518"/>
      </w:tblGrid>
      <w:tr w:rsidR="00944692">
        <w:trPr>
          <w:trHeight w:val="40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jc w:val="both"/>
            </w:pPr>
            <w:r>
              <w:rPr>
                <w:b/>
              </w:rPr>
              <w:t>Week</w:t>
            </w:r>
          </w:p>
        </w:tc>
        <w:tc>
          <w:tcPr>
            <w:tcW w:w="635"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jc w:val="both"/>
            </w:pPr>
            <w:r>
              <w:rPr>
                <w:b/>
              </w:rPr>
              <w:t>Date</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Topic</w:t>
            </w:r>
          </w:p>
        </w:tc>
        <w:tc>
          <w:tcPr>
            <w:tcW w:w="1499"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Readings</w:t>
            </w:r>
          </w:p>
        </w:tc>
        <w:tc>
          <w:tcPr>
            <w:tcW w:w="2518"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Assignments Due</w:t>
            </w:r>
          </w:p>
        </w:tc>
      </w:tr>
      <w:tr w:rsidR="00944692">
        <w:trPr>
          <w:trHeight w:val="64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Jan 17, 19</w:t>
            </w:r>
          </w:p>
        </w:tc>
        <w:tc>
          <w:tcPr>
            <w:tcW w:w="4817"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Introductions; Instructor, student, course</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c>
          <w:tcPr>
            <w:tcW w:w="2518"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Character</w:t>
            </w:r>
            <w:r>
              <w:t xml:space="preserve"> </w:t>
            </w:r>
            <w:r>
              <w:rPr>
                <w:b/>
              </w:rPr>
              <w:t>strengths assignment</w:t>
            </w:r>
            <w:r w:rsidR="006F6E2B">
              <w:rPr>
                <w:b/>
              </w:rPr>
              <w:t xml:space="preserve"> (01/19)</w:t>
            </w:r>
          </w:p>
        </w:tc>
      </w:tr>
      <w:tr w:rsidR="00944692">
        <w:trPr>
          <w:trHeight w:val="88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2</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Jan 24, 26</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Assessment I:</w:t>
            </w:r>
          </w:p>
          <w:p w:rsidR="00944692" w:rsidRDefault="00B15D56">
            <w:pPr>
              <w:spacing w:after="0" w:line="259" w:lineRule="auto"/>
              <w:ind w:left="0" w:firstLine="0"/>
            </w:pPr>
            <w:r>
              <w:t>Problems and Strengths.</w:t>
            </w:r>
          </w:p>
          <w:p w:rsidR="00944692" w:rsidRDefault="00B15D56">
            <w:pPr>
              <w:spacing w:after="0" w:line="259" w:lineRule="auto"/>
              <w:ind w:left="0" w:firstLine="0"/>
            </w:pPr>
            <w:r>
              <w:t xml:space="preserve"> </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C: Chapter 10</w:t>
            </w:r>
          </w:p>
          <w:p w:rsidR="00944692" w:rsidRDefault="00B15D56">
            <w:pPr>
              <w:spacing w:after="0" w:line="259" w:lineRule="auto"/>
              <w:ind w:left="0" w:firstLine="0"/>
            </w:pPr>
            <w:r>
              <w:t>H: Chapters 8</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88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3</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Jan 31, Feb 2</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Assessment II:</w:t>
            </w:r>
            <w:r>
              <w:rPr>
                <w:b/>
              </w:rPr>
              <w:t xml:space="preserve"> </w:t>
            </w:r>
          </w:p>
          <w:p w:rsidR="00944692" w:rsidRDefault="00B15D56">
            <w:pPr>
              <w:spacing w:after="0" w:line="259" w:lineRule="auto"/>
              <w:ind w:left="0" w:firstLine="0"/>
            </w:pPr>
            <w:r>
              <w:t>Intrapersonal, Interpersonal, and Environmental Factors.</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H: Chapter 9</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112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4</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Feb 7, 9</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216" w:line="259" w:lineRule="auto"/>
              <w:ind w:left="0" w:firstLine="0"/>
            </w:pPr>
            <w:r>
              <w:t>Assessment III:</w:t>
            </w:r>
          </w:p>
          <w:p w:rsidR="00944692" w:rsidRDefault="00977827">
            <w:pPr>
              <w:spacing w:after="0" w:line="259" w:lineRule="aut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3002915</wp:posOffset>
                      </wp:positionH>
                      <wp:positionV relativeFrom="paragraph">
                        <wp:posOffset>393701</wp:posOffset>
                      </wp:positionV>
                      <wp:extent cx="0" cy="150495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7030A"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31pt" to="236.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" strokecolor="black [3200]" strokeweight=".5pt">
                      <v:stroke joinstyle="miter"/>
                    </v:line>
                  </w:pict>
                </mc:Fallback>
              </mc:AlternateContent>
            </w:r>
            <w:r w:rsidR="00B15D56">
              <w:t>Family Functioning in Diverse Family and Cultural Contexts.</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977827">
            <w:pPr>
              <w:spacing w:after="0" w:line="259" w:lineRule="auto"/>
              <w:ind w:lef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897255</wp:posOffset>
                      </wp:positionH>
                      <wp:positionV relativeFrom="paragraph">
                        <wp:posOffset>706120</wp:posOffset>
                      </wp:positionV>
                      <wp:extent cx="0" cy="14954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0"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595D2"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55.6pt" to="70.6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" strokecolor="black [3200]" strokeweight=".5pt">
                      <v:stroke joinstyle="miter"/>
                    </v:line>
                  </w:pict>
                </mc:Fallback>
              </mc:AlternateContent>
            </w:r>
            <w:r w:rsidR="00B15D56">
              <w:t>H: Chapter 10</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208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5</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Feb 14, 16</w:t>
            </w:r>
          </w:p>
        </w:tc>
        <w:tc>
          <w:tcPr>
            <w:tcW w:w="8834" w:type="dxa"/>
            <w:gridSpan w:val="3"/>
            <w:tcBorders>
              <w:top w:val="single" w:sz="6" w:space="0" w:color="000000"/>
              <w:left w:val="single" w:sz="6" w:space="0" w:color="000000"/>
              <w:bottom w:val="single" w:sz="6" w:space="0" w:color="000000"/>
              <w:right w:val="single" w:sz="6" w:space="0" w:color="000000"/>
            </w:tcBorders>
          </w:tcPr>
          <w:p w:rsidR="00E83599" w:rsidRDefault="00B15D56">
            <w:pPr>
              <w:spacing w:after="0" w:line="259" w:lineRule="auto"/>
              <w:ind w:left="0" w:firstLine="0"/>
            </w:pPr>
            <w:r>
              <w:t xml:space="preserve">Assessment IV:                                                                                H: Chapter 11  </w:t>
            </w:r>
            <w:r w:rsidR="00E83599">
              <w:t xml:space="preserve">      </w:t>
            </w:r>
            <w:r w:rsidR="00E83599" w:rsidRPr="00E83599">
              <w:rPr>
                <w:b/>
              </w:rPr>
              <w:t>Biopsychosocial Assessment</w:t>
            </w:r>
          </w:p>
          <w:p w:rsidR="00944692" w:rsidRPr="00E83599" w:rsidRDefault="00E83599">
            <w:pPr>
              <w:spacing w:after="0" w:line="259" w:lineRule="auto"/>
              <w:ind w:left="0" w:firstLine="0"/>
              <w:rPr>
                <w:b/>
              </w:rPr>
            </w:pPr>
            <w:r>
              <w:t xml:space="preserve">                                                                                                                                            </w:t>
            </w:r>
            <w:r w:rsidRPr="00E83599">
              <w:rPr>
                <w:b/>
              </w:rPr>
              <w:t>Due</w:t>
            </w:r>
            <w:r w:rsidR="006F6E2B">
              <w:rPr>
                <w:b/>
              </w:rPr>
              <w:t xml:space="preserve"> (02/16)</w:t>
            </w:r>
          </w:p>
          <w:p w:rsidR="00944692" w:rsidRPr="00977827" w:rsidRDefault="00B15D56">
            <w:pPr>
              <w:spacing w:after="216" w:line="259" w:lineRule="auto"/>
              <w:ind w:left="0" w:firstLine="0"/>
              <w:rPr>
                <w:color w:val="auto"/>
              </w:rPr>
            </w:pPr>
            <w:r>
              <w:t>Forming and Assessing So</w:t>
            </w:r>
            <w:r w:rsidR="00E83599">
              <w:t>ci</w:t>
            </w:r>
            <w:r>
              <w:t>al Work Groups</w:t>
            </w:r>
          </w:p>
          <w:p w:rsidR="00E83599" w:rsidRPr="00977827" w:rsidRDefault="00E83599">
            <w:pPr>
              <w:spacing w:after="216" w:line="259" w:lineRule="auto"/>
              <w:ind w:left="0" w:firstLine="0"/>
              <w:rPr>
                <w:color w:val="auto"/>
              </w:rPr>
            </w:pPr>
          </w:p>
          <w:p w:rsidR="00944692" w:rsidRDefault="00B15D56">
            <w:pPr>
              <w:spacing w:after="216" w:line="259" w:lineRule="auto"/>
              <w:ind w:left="0" w:firstLine="0"/>
            </w:pPr>
            <w:r>
              <w:t>Contracting I:                                                                                  H: Chapter 12</w:t>
            </w:r>
          </w:p>
          <w:p w:rsidR="00944692" w:rsidRDefault="00B15D56">
            <w:pPr>
              <w:spacing w:after="0" w:line="259" w:lineRule="auto"/>
              <w:ind w:left="0" w:firstLine="0"/>
            </w:pPr>
            <w:r>
              <w:t>Introduction</w:t>
            </w:r>
          </w:p>
        </w:tc>
      </w:tr>
      <w:tr w:rsidR="00944692">
        <w:trPr>
          <w:trHeight w:val="88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6</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Feb 21, 23</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Contracting II:</w:t>
            </w:r>
          </w:p>
          <w:p w:rsidR="00944692" w:rsidRDefault="00977827">
            <w:pPr>
              <w:spacing w:after="0" w:line="259" w:lineRule="auto"/>
              <w:ind w:left="0" w:firstLine="0"/>
            </w:pPr>
            <w:r>
              <w:rPr>
                <w:noProof/>
              </w:rPr>
              <mc:AlternateContent>
                <mc:Choice Requires="wps">
                  <w:drawing>
                    <wp:anchor distT="0" distB="0" distL="114300" distR="114300" simplePos="0" relativeHeight="251661312" behindDoc="0" locked="0" layoutInCell="1" allowOverlap="1">
                      <wp:simplePos x="0" y="0"/>
                      <wp:positionH relativeFrom="column">
                        <wp:posOffset>3002915</wp:posOffset>
                      </wp:positionH>
                      <wp:positionV relativeFrom="paragraph">
                        <wp:posOffset>400050</wp:posOffset>
                      </wp:positionV>
                      <wp:extent cx="0" cy="8001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B8002"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31.5pt" to="236.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" strokecolor="black [3200]" strokeweight=".5pt">
                      <v:stroke joinstyle="miter"/>
                    </v:line>
                  </w:pict>
                </mc:Fallback>
              </mc:AlternateContent>
            </w:r>
            <w:r w:rsidR="00B15D56">
              <w:t>Developing Goals and Formulating a Contract.</w:t>
            </w:r>
          </w:p>
        </w:tc>
        <w:tc>
          <w:tcPr>
            <w:tcW w:w="1499" w:type="dxa"/>
            <w:tcBorders>
              <w:top w:val="single" w:sz="6" w:space="0" w:color="000000"/>
              <w:left w:val="single" w:sz="6" w:space="0" w:color="000000"/>
              <w:bottom w:val="single" w:sz="6" w:space="0" w:color="000000"/>
              <w:right w:val="single" w:sz="6" w:space="0" w:color="000000"/>
            </w:tcBorders>
            <w:vAlign w:val="center"/>
          </w:tcPr>
          <w:p w:rsidR="00E83599" w:rsidRDefault="00B15D56" w:rsidP="00E83599">
            <w:pPr>
              <w:spacing w:after="0" w:line="259" w:lineRule="auto"/>
              <w:ind w:left="0" w:firstLine="0"/>
            </w:pPr>
            <w:r>
              <w:t>C: Chapter 11</w:t>
            </w:r>
          </w:p>
          <w:p w:rsidR="00944692" w:rsidRDefault="00B15D56" w:rsidP="00E83599">
            <w:pPr>
              <w:spacing w:after="0" w:line="259" w:lineRule="auto"/>
              <w:ind w:left="0" w:firstLine="0"/>
            </w:pPr>
            <w:r>
              <w:t>H: Chapter 12</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977827">
            <w:pPr>
              <w:spacing w:after="0" w:line="259" w:lineRule="auto"/>
              <w:ind w:left="0" w:firstLine="0"/>
            </w:pPr>
            <w:r>
              <w:rPr>
                <w:noProof/>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553720</wp:posOffset>
                      </wp:positionV>
                      <wp:extent cx="0" cy="790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47EF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3.6pt" to="-4.3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" strokecolor="black [3200]" strokeweight=".5pt">
                      <v:stroke joinstyle="miter"/>
                    </v:line>
                  </w:pict>
                </mc:Fallback>
              </mc:AlternateContent>
            </w:r>
            <w:r w:rsidR="00B15D56">
              <w:t xml:space="preserve"> </w:t>
            </w:r>
          </w:p>
        </w:tc>
      </w:tr>
      <w:tr w:rsidR="00944692">
        <w:trPr>
          <w:trHeight w:val="112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7</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Feb 28, Mar 2</w:t>
            </w:r>
          </w:p>
        </w:tc>
        <w:tc>
          <w:tcPr>
            <w:tcW w:w="8834" w:type="dxa"/>
            <w:gridSpan w:val="3"/>
            <w:tcBorders>
              <w:top w:val="single" w:sz="6" w:space="0" w:color="000000"/>
              <w:left w:val="single" w:sz="6" w:space="0" w:color="000000"/>
              <w:bottom w:val="single" w:sz="6" w:space="0" w:color="000000"/>
              <w:right w:val="single" w:sz="6" w:space="0" w:color="000000"/>
            </w:tcBorders>
            <w:vAlign w:val="center"/>
          </w:tcPr>
          <w:p w:rsidR="00944692" w:rsidRPr="006F6E2B" w:rsidRDefault="00B15D56" w:rsidP="006F6E2B">
            <w:pPr>
              <w:spacing w:after="0" w:line="259" w:lineRule="auto"/>
              <w:ind w:left="0" w:firstLine="0"/>
              <w:rPr>
                <w:b/>
              </w:rPr>
            </w:pPr>
            <w:r>
              <w:t xml:space="preserve">Working and evaluating                                                         </w:t>
            </w:r>
            <w:r w:rsidR="00E83599">
              <w:t xml:space="preserve">       </w:t>
            </w:r>
            <w:r>
              <w:t xml:space="preserve">C: Chapter 12          </w:t>
            </w:r>
            <w:r w:rsidR="006F6E2B">
              <w:rPr>
                <w:b/>
              </w:rPr>
              <w:t>Midterm (online; 03/02)</w:t>
            </w:r>
          </w:p>
        </w:tc>
      </w:tr>
      <w:tr w:rsidR="00944692">
        <w:trPr>
          <w:trHeight w:val="64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8</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Mar 7, 9</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Planning and Implementing Change-Oriented Strategies.</w:t>
            </w:r>
          </w:p>
        </w:tc>
        <w:tc>
          <w:tcPr>
            <w:tcW w:w="1499" w:type="dxa"/>
            <w:tcBorders>
              <w:top w:val="single" w:sz="6" w:space="0" w:color="000000"/>
              <w:left w:val="single" w:sz="6" w:space="0" w:color="000000"/>
              <w:bottom w:val="single" w:sz="6" w:space="0" w:color="000000"/>
              <w:right w:val="single" w:sz="6" w:space="0" w:color="000000"/>
            </w:tcBorders>
          </w:tcPr>
          <w:p w:rsidR="00E83599" w:rsidRDefault="00E83599">
            <w:pPr>
              <w:spacing w:after="0" w:line="259" w:lineRule="auto"/>
              <w:ind w:left="0" w:firstLine="0"/>
            </w:pPr>
            <w:r>
              <w:t>C: Chapter 12</w:t>
            </w:r>
          </w:p>
          <w:p w:rsidR="00944692" w:rsidRDefault="00B15D56">
            <w:pPr>
              <w:spacing w:after="0" w:line="259" w:lineRule="auto"/>
              <w:ind w:left="0" w:firstLine="0"/>
            </w:pPr>
            <w:r>
              <w:t>H: Chapter 13</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112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lastRenderedPageBreak/>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9</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Mar 21, 23</w:t>
            </w:r>
          </w:p>
        </w:tc>
        <w:tc>
          <w:tcPr>
            <w:tcW w:w="4817" w:type="dxa"/>
            <w:tcBorders>
              <w:top w:val="single" w:sz="6" w:space="0" w:color="000000"/>
              <w:left w:val="single" w:sz="6" w:space="0" w:color="000000"/>
              <w:bottom w:val="single" w:sz="6" w:space="0" w:color="000000"/>
              <w:right w:val="single" w:sz="6" w:space="0" w:color="000000"/>
            </w:tcBorders>
          </w:tcPr>
          <w:p w:rsidR="00944692" w:rsidRDefault="00944692">
            <w:pPr>
              <w:spacing w:after="0" w:line="259" w:lineRule="auto"/>
              <w:ind w:left="0" w:firstLine="0"/>
            </w:pPr>
          </w:p>
          <w:p w:rsidR="00944692" w:rsidRDefault="00B15D56">
            <w:pPr>
              <w:spacing w:after="0" w:line="259" w:lineRule="auto"/>
              <w:ind w:left="0" w:firstLine="0"/>
            </w:pPr>
            <w:r>
              <w:t>Developing Resources, Organizing, Planning, and</w:t>
            </w:r>
          </w:p>
          <w:p w:rsidR="00944692" w:rsidRDefault="00B15D56">
            <w:pPr>
              <w:spacing w:after="0" w:line="259" w:lineRule="auto"/>
              <w:ind w:left="0" w:firstLine="0"/>
            </w:pPr>
            <w:r>
              <w:t>Advocacy as Intervention</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t>H: Chapter 14</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88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10</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Mar 28, 30</w:t>
            </w:r>
          </w:p>
        </w:tc>
        <w:tc>
          <w:tcPr>
            <w:tcW w:w="4817"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Intervention with families</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H: Chapter 15</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112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11</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Apr 4, 6</w:t>
            </w:r>
          </w:p>
        </w:tc>
        <w:tc>
          <w:tcPr>
            <w:tcW w:w="4817"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Intervention with groups</w:t>
            </w:r>
          </w:p>
          <w:p w:rsidR="00944692" w:rsidRDefault="00B15D56">
            <w:pPr>
              <w:spacing w:after="0" w:line="259" w:lineRule="auto"/>
              <w:ind w:left="0" w:firstLine="0"/>
            </w:pPr>
            <w:r>
              <w:t xml:space="preserve"> </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H: Chapter 16</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64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12</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Apr 11, 13</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Intermediate Skills:  Additive empathy, interpretation, confrontation</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977827">
            <w:pPr>
              <w:spacing w:after="0" w:line="259" w:lineRule="auto"/>
              <w:ind w:left="0" w:firstLine="0"/>
            </w:pPr>
            <w:r>
              <w:rPr>
                <w:noProof/>
              </w:rPr>
              <mc:AlternateContent>
                <mc:Choice Requires="wps">
                  <w:drawing>
                    <wp:anchor distT="0" distB="0" distL="114300" distR="114300" simplePos="0" relativeHeight="251664384" behindDoc="0" locked="0" layoutInCell="1" allowOverlap="1">
                      <wp:simplePos x="0" y="0"/>
                      <wp:positionH relativeFrom="column">
                        <wp:posOffset>897255</wp:posOffset>
                      </wp:positionH>
                      <wp:positionV relativeFrom="paragraph">
                        <wp:posOffset>495300</wp:posOffset>
                      </wp:positionV>
                      <wp:extent cx="0" cy="5810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67656"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39pt" to="70.6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" strokecolor="black [3200]" strokeweight=".5pt">
                      <v:stroke joinstyle="miter"/>
                    </v:line>
                  </w:pict>
                </mc:Fallback>
              </mc:AlternateContent>
            </w:r>
            <w:r w:rsidR="00B15D56">
              <w:t>H: Chapter 17</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645"/>
        </w:trPr>
        <w:tc>
          <w:tcPr>
            <w:tcW w:w="721"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13</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Apr 18, 20</w:t>
            </w:r>
          </w:p>
        </w:tc>
        <w:tc>
          <w:tcPr>
            <w:tcW w:w="8834" w:type="dxa"/>
            <w:gridSpan w:val="3"/>
            <w:tcBorders>
              <w:top w:val="single" w:sz="6" w:space="0" w:color="000000"/>
              <w:left w:val="single" w:sz="6" w:space="0" w:color="000000"/>
              <w:bottom w:val="single" w:sz="6" w:space="0" w:color="000000"/>
              <w:right w:val="single" w:sz="6" w:space="0" w:color="000000"/>
            </w:tcBorders>
          </w:tcPr>
          <w:p w:rsidR="00944692" w:rsidRDefault="00977827">
            <w:pPr>
              <w:spacing w:after="0" w:line="259" w:lineRule="auto"/>
              <w:ind w:left="0" w:firstLine="0"/>
            </w:pPr>
            <w:r>
              <w:rPr>
                <w:noProof/>
              </w:rPr>
              <mc:AlternateContent>
                <mc:Choice Requires="wps">
                  <w:drawing>
                    <wp:anchor distT="0" distB="0" distL="114300" distR="114300" simplePos="0" relativeHeight="251663360" behindDoc="0" locked="0" layoutInCell="1" allowOverlap="1">
                      <wp:simplePos x="0" y="0"/>
                      <wp:positionH relativeFrom="column">
                        <wp:posOffset>3002916</wp:posOffset>
                      </wp:positionH>
                      <wp:positionV relativeFrom="paragraph">
                        <wp:posOffset>-80645</wp:posOffset>
                      </wp:positionV>
                      <wp:extent cx="0" cy="5810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DAE2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6.35pt" to="236.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" strokecolor="black [3200]" strokeweight=".5pt">
                      <v:stroke joinstyle="miter"/>
                    </v:line>
                  </w:pict>
                </mc:Fallback>
              </mc:AlternateContent>
            </w:r>
            <w:r w:rsidR="00B15D56">
              <w:t>Intermediate Skills (Cont'd)</w:t>
            </w:r>
            <w:r w:rsidR="00E83599">
              <w:t xml:space="preserve">                                                                                           </w:t>
            </w:r>
            <w:r w:rsidR="00E83599" w:rsidRPr="00E83599">
              <w:rPr>
                <w:b/>
              </w:rPr>
              <w:t>Final (</w:t>
            </w:r>
            <w:r w:rsidR="006F6E2B">
              <w:rPr>
                <w:b/>
              </w:rPr>
              <w:t xml:space="preserve">04/20; </w:t>
            </w:r>
            <w:bookmarkStart w:id="0" w:name="_GoBack"/>
            <w:bookmarkEnd w:id="0"/>
            <w:r w:rsidR="00E83599" w:rsidRPr="00E83599">
              <w:rPr>
                <w:b/>
              </w:rPr>
              <w:t>online)</w:t>
            </w:r>
          </w:p>
          <w:p w:rsidR="00944692" w:rsidRDefault="00944692">
            <w:pPr>
              <w:spacing w:after="0" w:line="259" w:lineRule="auto"/>
              <w:ind w:left="0" w:firstLine="0"/>
            </w:pPr>
          </w:p>
        </w:tc>
      </w:tr>
      <w:tr w:rsidR="00944692">
        <w:trPr>
          <w:trHeight w:val="64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14</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Apr 25, 27</w:t>
            </w:r>
          </w:p>
        </w:tc>
        <w:tc>
          <w:tcPr>
            <w:tcW w:w="4817" w:type="dxa"/>
            <w:tcBorders>
              <w:top w:val="single" w:sz="6" w:space="0" w:color="000000"/>
              <w:left w:val="single" w:sz="6" w:space="0" w:color="000000"/>
              <w:bottom w:val="single" w:sz="6" w:space="0" w:color="000000"/>
              <w:right w:val="single" w:sz="6" w:space="0" w:color="000000"/>
            </w:tcBorders>
          </w:tcPr>
          <w:p w:rsidR="00944692" w:rsidRDefault="00B15D56">
            <w:pPr>
              <w:spacing w:after="0" w:line="259" w:lineRule="auto"/>
              <w:ind w:left="0" w:firstLine="0"/>
            </w:pPr>
            <w:r>
              <w:t>Managing Barriers to Change</w:t>
            </w:r>
          </w:p>
          <w:p w:rsidR="00944692" w:rsidRDefault="00B15D56">
            <w:pPr>
              <w:spacing w:after="0" w:line="259" w:lineRule="auto"/>
              <w:ind w:left="0" w:firstLine="0"/>
            </w:pPr>
            <w:r>
              <w:t xml:space="preserve"> </w:t>
            </w:r>
          </w:p>
        </w:tc>
        <w:tc>
          <w:tcPr>
            <w:tcW w:w="1499" w:type="dxa"/>
            <w:tcBorders>
              <w:top w:val="single" w:sz="6" w:space="0" w:color="000000"/>
              <w:left w:val="single" w:sz="6" w:space="0" w:color="000000"/>
              <w:bottom w:val="single" w:sz="6" w:space="0" w:color="000000"/>
              <w:right w:val="single" w:sz="6" w:space="0" w:color="000000"/>
            </w:tcBorders>
            <w:vAlign w:val="center"/>
          </w:tcPr>
          <w:p w:rsidR="00944692" w:rsidRDefault="00977827">
            <w:pPr>
              <w:spacing w:after="0" w:line="259" w:lineRule="auto"/>
              <w:ind w:left="0" w:firstLine="0"/>
            </w:pPr>
            <w:r>
              <w:rPr>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476885</wp:posOffset>
                      </wp:positionV>
                      <wp:extent cx="0" cy="6667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D3EA7"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37.55pt" to="-4.3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" strokecolor="black [3200]" strokeweight=".5pt">
                      <v:stroke joinstyle="miter"/>
                    </v:line>
                  </w:pict>
                </mc:Fallback>
              </mc:AlternateContent>
            </w:r>
            <w:r w:rsidR="00B15D56">
              <w:t>H: Chapter 18</w:t>
            </w:r>
          </w:p>
        </w:tc>
        <w:tc>
          <w:tcPr>
            <w:tcW w:w="2518"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p>
        </w:tc>
      </w:tr>
      <w:tr w:rsidR="00944692">
        <w:trPr>
          <w:trHeight w:val="885"/>
        </w:trPr>
        <w:tc>
          <w:tcPr>
            <w:tcW w:w="721"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rPr>
                <w:b/>
              </w:rPr>
              <w:t xml:space="preserve"> </w:t>
            </w:r>
          </w:p>
          <w:p w:rsidR="00944692" w:rsidRDefault="00B15D56">
            <w:pPr>
              <w:spacing w:after="0" w:line="259" w:lineRule="auto"/>
              <w:ind w:left="0" w:firstLine="0"/>
            </w:pPr>
            <w:r>
              <w:rPr>
                <w:b/>
              </w:rPr>
              <w:t>15</w:t>
            </w:r>
          </w:p>
        </w:tc>
        <w:tc>
          <w:tcPr>
            <w:tcW w:w="635" w:type="dxa"/>
            <w:tcBorders>
              <w:top w:val="single" w:sz="6" w:space="0" w:color="000000"/>
              <w:left w:val="single" w:sz="6" w:space="0" w:color="000000"/>
              <w:bottom w:val="single" w:sz="6" w:space="0" w:color="000000"/>
              <w:right w:val="single" w:sz="6" w:space="0" w:color="000000"/>
            </w:tcBorders>
            <w:vAlign w:val="center"/>
          </w:tcPr>
          <w:p w:rsidR="00944692" w:rsidRDefault="00B15D56">
            <w:pPr>
              <w:spacing w:after="0" w:line="259" w:lineRule="auto"/>
              <w:ind w:left="0" w:firstLine="0"/>
            </w:pPr>
            <w:r>
              <w:t xml:space="preserve"> </w:t>
            </w:r>
            <w:r w:rsidR="00336F11">
              <w:t>May 2, 4</w:t>
            </w:r>
          </w:p>
        </w:tc>
        <w:tc>
          <w:tcPr>
            <w:tcW w:w="8834" w:type="dxa"/>
            <w:gridSpan w:val="3"/>
            <w:tcBorders>
              <w:top w:val="single" w:sz="6" w:space="0" w:color="000000"/>
              <w:left w:val="single" w:sz="6" w:space="0" w:color="000000"/>
              <w:bottom w:val="single" w:sz="6" w:space="0" w:color="000000"/>
              <w:right w:val="single" w:sz="6" w:space="0" w:color="000000"/>
            </w:tcBorders>
          </w:tcPr>
          <w:p w:rsidR="00944692" w:rsidRDefault="00336F11">
            <w:pPr>
              <w:spacing w:after="216" w:line="259" w:lineRule="auto"/>
              <w:ind w:left="0" w:firstLine="0"/>
            </w:pPr>
            <w:r>
              <w:rPr>
                <w:noProof/>
              </w:rPr>
              <mc:AlternateContent>
                <mc:Choice Requires="wps">
                  <w:drawing>
                    <wp:anchor distT="0" distB="0" distL="114300" distR="114300" simplePos="0" relativeHeight="251666432" behindDoc="0" locked="0" layoutInCell="1" allowOverlap="1">
                      <wp:simplePos x="0" y="0"/>
                      <wp:positionH relativeFrom="column">
                        <wp:posOffset>3955415</wp:posOffset>
                      </wp:positionH>
                      <wp:positionV relativeFrom="paragraph">
                        <wp:posOffset>-95250</wp:posOffset>
                      </wp:positionV>
                      <wp:extent cx="0" cy="6477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DFC0B"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5pt,-7.5pt" to="3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" strokecolor="black [3200]" strokeweight=".5pt">
                      <v:stroke joinstyle="miter"/>
                    </v:line>
                  </w:pict>
                </mc:Fallback>
              </mc:AlternateContent>
            </w:r>
            <w:r w:rsidR="00B15D56">
              <w:t>Ending/Termination                                                                       C: Chapter 13</w:t>
            </w:r>
          </w:p>
          <w:p w:rsidR="00944692" w:rsidRDefault="00B15D56" w:rsidP="00E83599">
            <w:pPr>
              <w:spacing w:after="0" w:line="259" w:lineRule="auto"/>
              <w:ind w:left="0" w:firstLine="0"/>
            </w:pPr>
            <w:r>
              <w:t xml:space="preserve">                                                                                                           H: chapter 19</w:t>
            </w:r>
          </w:p>
        </w:tc>
      </w:tr>
    </w:tbl>
    <w:p w:rsidR="00944692" w:rsidRDefault="00B15D56">
      <w:pPr>
        <w:spacing w:after="452"/>
        <w:ind w:left="-5"/>
      </w:pPr>
      <w:r>
        <w:t>As the instructor for this course, I reserve the right to adjust this schedule in any way that serves the educational needs of the students enrolled in this course.</w:t>
      </w:r>
    </w:p>
    <w:p w:rsidR="00944692" w:rsidRDefault="00B15D56">
      <w:pPr>
        <w:pStyle w:val="Heading1"/>
        <w:ind w:left="-5" w:right="99"/>
      </w:pPr>
      <w:r>
        <w:t>J. Expectations for Out-of-Class Study</w:t>
      </w:r>
    </w:p>
    <w:p w:rsidR="00944692" w:rsidRDefault="00B15D56">
      <w:pPr>
        <w:ind w:left="-5"/>
      </w:pPr>
      <w: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B15D56" w:rsidRDefault="00B15D56">
      <w:pPr>
        <w:ind w:left="-5"/>
      </w:pPr>
    </w:p>
    <w:p w:rsidR="00944692" w:rsidRDefault="00B15D56">
      <w:pPr>
        <w:pStyle w:val="Heading1"/>
        <w:ind w:left="-5" w:right="99"/>
      </w:pPr>
      <w:r>
        <w:t>K. Grade Grievances</w:t>
      </w:r>
    </w:p>
    <w:p w:rsidR="00944692" w:rsidRDefault="00B15D56">
      <w:pPr>
        <w:spacing w:after="16" w:line="259" w:lineRule="auto"/>
        <w:ind w:left="-5"/>
      </w:pPr>
      <w:r>
        <w:t xml:space="preserve">See BSW Program Manual at: </w:t>
      </w:r>
      <w:hyperlink r:id="rId9">
        <w:r>
          <w:rPr>
            <w:color w:val="0000FF"/>
            <w:u w:val="single" w:color="0000FF"/>
          </w:rPr>
          <w:t>https://www.uta.edu/ssw/_documents/bsw/bsw-program-manual.pdf</w:t>
        </w:r>
      </w:hyperlink>
    </w:p>
    <w:p w:rsidR="00944692" w:rsidRDefault="00B15D56">
      <w:pPr>
        <w:spacing w:after="240" w:line="259" w:lineRule="auto"/>
        <w:ind w:left="-5"/>
        <w:rPr>
          <w:color w:val="0000FF"/>
          <w:u w:val="single" w:color="0000FF"/>
        </w:rPr>
      </w:pPr>
      <w:r>
        <w:t xml:space="preserve">Or MSW Program Manual at: </w:t>
      </w:r>
      <w:hyperlink r:id="rId10">
        <w:r>
          <w:rPr>
            <w:color w:val="0000FF"/>
            <w:u w:val="single" w:color="0000FF"/>
          </w:rPr>
          <w:t>http://www.uta.edu/ssw/_documents/msw/msw-program-manual.pdf</w:t>
        </w:r>
      </w:hyperlink>
    </w:p>
    <w:p w:rsidR="00B15D56" w:rsidRDefault="00B15D56">
      <w:pPr>
        <w:spacing w:after="240" w:line="259" w:lineRule="auto"/>
        <w:ind w:left="-5"/>
      </w:pPr>
    </w:p>
    <w:p w:rsidR="00944692" w:rsidRDefault="00B15D56">
      <w:pPr>
        <w:pStyle w:val="Heading1"/>
        <w:ind w:left="-5" w:right="99"/>
      </w:pPr>
      <w:r>
        <w:t>L. Student Support Services</w:t>
      </w:r>
    </w:p>
    <w:p w:rsidR="00944692" w:rsidRDefault="00B15D56">
      <w:pPr>
        <w:ind w:left="-5"/>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1">
        <w:r>
          <w:rPr>
            <w:color w:val="0000FF"/>
            <w:u w:val="single" w:color="0000FF"/>
          </w:rPr>
          <w:t>tutoring</w:t>
        </w:r>
      </w:hyperlink>
      <w:r>
        <w:t xml:space="preserve">, </w:t>
      </w:r>
      <w:hyperlink r:id="rId12">
        <w:r>
          <w:rPr>
            <w:color w:val="0000FF"/>
            <w:u w:val="single" w:color="0000FF"/>
          </w:rPr>
          <w:t>major-based learning centers</w:t>
        </w:r>
      </w:hyperlink>
      <w:r>
        <w:t xml:space="preserve">, developmental education, </w:t>
      </w:r>
      <w:hyperlink r:id="rId13">
        <w:r>
          <w:rPr>
            <w:color w:val="0000FF"/>
            <w:u w:val="single" w:color="0000FF"/>
          </w:rPr>
          <w:t>advising and mentoring</w:t>
        </w:r>
      </w:hyperlink>
      <w:r>
        <w:t xml:space="preserve">, personal counseling, and </w:t>
      </w:r>
      <w:hyperlink r:id="rId14">
        <w:r>
          <w:rPr>
            <w:color w:val="0000FF"/>
            <w:u w:val="single" w:color="0000FF"/>
          </w:rPr>
          <w:t>federally funded programs</w:t>
        </w:r>
      </w:hyperlink>
      <w:r>
        <w:t>. For individualized referrals, students may visit the reception desk at University College (Ransom Hall), call the Maverick Resource Hotline at 817-272-</w:t>
      </w:r>
      <w:r>
        <w:lastRenderedPageBreak/>
        <w:t xml:space="preserve">6107, send a message to </w:t>
      </w:r>
      <w:r>
        <w:rPr>
          <w:color w:val="0000FF"/>
          <w:u w:val="single" w:color="0000FF"/>
        </w:rPr>
        <w:t>resources@uta.edu</w:t>
      </w:r>
      <w:r>
        <w:t xml:space="preserve">, or view the information </w:t>
      </w:r>
      <w:proofErr w:type="gramStart"/>
      <w:r>
        <w:t xml:space="preserve">at </w:t>
      </w:r>
      <w:proofErr w:type="gramEnd"/>
      <w:r>
        <w:fldChar w:fldCharType="begin"/>
      </w:r>
      <w:r>
        <w:instrText xml:space="preserve"> HYPERLINK "http://www.uta.edu/universitycollege/resources/index.php" \h </w:instrText>
      </w:r>
      <w:r>
        <w:fldChar w:fldCharType="separate"/>
      </w:r>
      <w:r>
        <w:rPr>
          <w:color w:val="0000FF"/>
          <w:u w:val="single" w:color="0000FF"/>
        </w:rPr>
        <w:t>http://www.uta.edu/universitycollege/resources/index.php</w:t>
      </w:r>
      <w:r>
        <w:rPr>
          <w:color w:val="0000FF"/>
          <w:u w:val="single" w:color="0000FF"/>
        </w:rPr>
        <w:fldChar w:fldCharType="end"/>
      </w:r>
      <w:r>
        <w:t>.</w:t>
      </w:r>
    </w:p>
    <w:p w:rsidR="00944692" w:rsidRDefault="00B15D56">
      <w:pPr>
        <w:ind w:left="-5"/>
      </w:pPr>
      <w:r>
        <w:t>The IDEAS Center</w:t>
      </w:r>
      <w:r>
        <w:rPr>
          <w:b/>
        </w:rPr>
        <w:t xml:space="preserve"> (</w:t>
      </w:r>
      <w:r>
        <w:t>2</w:t>
      </w:r>
      <w:r>
        <w:rPr>
          <w:sz w:val="17"/>
          <w:vertAlign w:val="superscript"/>
        </w:rPr>
        <w:t>nd</w:t>
      </w:r>
      <w:r>
        <w:t xml:space="preserve"> Floor of Central Library) offers </w:t>
      </w:r>
      <w:r>
        <w:rPr>
          <w:b/>
        </w:rPr>
        <w:t>free</w:t>
      </w:r>
      <w:r>
        <w:t xml:space="preserve"> tutoring to all students with a focus on transfer students, sophomores, veterans and others undergoing a transition to UT Arlington. To schedule an appointment with a peer tutor or mentor email </w:t>
      </w:r>
      <w:r>
        <w:rPr>
          <w:color w:val="0000FF"/>
          <w:u w:val="single" w:color="0000FF"/>
        </w:rPr>
        <w:t>IDEAS@uta.edu</w:t>
      </w:r>
      <w:r>
        <w:t xml:space="preserve"> or call (817) 272-6593.</w:t>
      </w:r>
    </w:p>
    <w:p w:rsidR="00944692" w:rsidRDefault="00B15D56">
      <w:pPr>
        <w:ind w:left="-5"/>
      </w:pPr>
      <w:r>
        <w:t xml:space="preserve">The UT Arlington School of Social Work community is committed to and cares about all of our students. If you or someone you know feels overwhelmed, hopeless, depressed, and/or is thinking about dying by suicide or harming oneself or someone else, supportive services are available. For immediate, 24-hour help call MAVS </w:t>
      </w:r>
      <w:proofErr w:type="gramStart"/>
      <w:r>
        <w:t>Talk</w:t>
      </w:r>
      <w:proofErr w:type="gramEnd"/>
      <w:r>
        <w:t xml:space="preserve"> at 817-272-TALK (817-272-8255). For campus resources, contact Counseling and Psychological Services (817-272-3671 or </w:t>
      </w:r>
      <w:proofErr w:type="gramStart"/>
      <w:r>
        <w:t xml:space="preserve">visit </w:t>
      </w:r>
      <w:proofErr w:type="gramEnd"/>
      <w:r>
        <w:fldChar w:fldCharType="begin"/>
      </w:r>
      <w:r>
        <w:instrText xml:space="preserve"> HYPERLINK "http://www.uta.edu/caps/index.php" \h </w:instrText>
      </w:r>
      <w:r>
        <w:fldChar w:fldCharType="separate"/>
      </w:r>
      <w:r>
        <w:rPr>
          <w:color w:val="0000FF"/>
          <w:u w:val="single" w:color="0000FF"/>
        </w:rPr>
        <w:t>http://www.uta.edu/caps/index.php</w:t>
      </w:r>
      <w:r>
        <w:rPr>
          <w:color w:val="0000FF"/>
          <w:u w:val="single" w:color="0000FF"/>
        </w:rPr>
        <w:fldChar w:fldCharType="end"/>
      </w:r>
      <w:r>
        <w:t xml:space="preserve">) or UT Arlington Psychiatric Services (817-272-2771 or visit </w:t>
      </w:r>
      <w:hyperlink r:id="rId15">
        <w:r>
          <w:rPr>
            <w:color w:val="0000FF"/>
            <w:u w:val="single" w:color="0000FF"/>
          </w:rPr>
          <w:t>https://www.uta.edu/caps/services/psychiatric.php</w:t>
        </w:r>
      </w:hyperlink>
      <w:r>
        <w:t>) for more information or to schedule an appointment. You can be seen by a counselor on a walk-in basis every day, Monday through Friday, from 8:00 AM to 5:00 PM in Ransom Hall, Suite 303. Getting help is a smart and courageous thing to do - for yourself and for those who care about you.</w:t>
      </w:r>
    </w:p>
    <w:p w:rsidR="00B15D56" w:rsidRDefault="00B15D56">
      <w:pPr>
        <w:ind w:left="-5"/>
      </w:pPr>
    </w:p>
    <w:p w:rsidR="00944692" w:rsidRDefault="00B15D56">
      <w:pPr>
        <w:pStyle w:val="Heading1"/>
        <w:ind w:left="-5" w:right="99"/>
      </w:pPr>
      <w:r>
        <w:t>M. Librarian to Contact</w:t>
      </w:r>
    </w:p>
    <w:p w:rsidR="00944692" w:rsidRDefault="00B15D56">
      <w:pPr>
        <w:ind w:left="-5"/>
      </w:pPr>
      <w:r>
        <w:t xml:space="preserve">The Social Sciences/Social Work Resource Librarian is John Dillard. His office is in the campus Central Library. He may also be contacted via E-mail: </w:t>
      </w:r>
      <w:r>
        <w:rPr>
          <w:color w:val="0000FF"/>
          <w:u w:val="single" w:color="0000FF"/>
        </w:rPr>
        <w:t>dillard@uta.edu</w:t>
      </w:r>
      <w:r>
        <w:t xml:space="preserve"> or by Cell phone: </w:t>
      </w:r>
      <w:r>
        <w:rPr>
          <w:b/>
        </w:rPr>
        <w:t>(817) 675-8962, b</w:t>
      </w:r>
      <w:r>
        <w:t xml:space="preserve">elow are some commonly used resources needed by students in online or technology supported courses: </w:t>
      </w:r>
      <w:hyperlink r:id="rId16">
        <w:r>
          <w:rPr>
            <w:color w:val="0000FF"/>
            <w:u w:val="single" w:color="0000FF"/>
          </w:rPr>
          <w:t>http://www.uta.edu/library/services/distance.php</w:t>
        </w:r>
      </w:hyperlink>
    </w:p>
    <w:p w:rsidR="00944692" w:rsidRDefault="00B15D56">
      <w:pPr>
        <w:spacing w:after="7"/>
        <w:ind w:left="-5"/>
      </w:pPr>
      <w:r>
        <w:t>The following is a list, with links, of commonly used library resources:</w:t>
      </w:r>
    </w:p>
    <w:p w:rsidR="00944692" w:rsidRDefault="00B15D56">
      <w:pPr>
        <w:spacing w:after="7"/>
        <w:ind w:left="-5"/>
      </w:pPr>
      <w:r>
        <w:t xml:space="preserve">Library Home Page...................... </w:t>
      </w:r>
      <w:hyperlink r:id="rId17">
        <w:r>
          <w:rPr>
            <w:color w:val="0000FF"/>
            <w:u w:val="single" w:color="0000FF"/>
          </w:rPr>
          <w:t>http://www.uta.edu/library</w:t>
        </w:r>
      </w:hyperlink>
    </w:p>
    <w:p w:rsidR="00944692" w:rsidRDefault="00B15D56">
      <w:pPr>
        <w:spacing w:after="7"/>
        <w:ind w:left="-5"/>
      </w:pPr>
      <w:r>
        <w:t xml:space="preserve">Subject Guides............................ </w:t>
      </w:r>
      <w:hyperlink r:id="rId18">
        <w:r>
          <w:rPr>
            <w:color w:val="0000FF"/>
            <w:u w:val="single" w:color="0000FF"/>
          </w:rPr>
          <w:t>http://libguides.uta.edu</w:t>
        </w:r>
      </w:hyperlink>
    </w:p>
    <w:p w:rsidR="00944692" w:rsidRDefault="00B15D56">
      <w:pPr>
        <w:spacing w:after="16" w:line="259" w:lineRule="auto"/>
        <w:ind w:left="-5"/>
      </w:pPr>
      <w:r>
        <w:t xml:space="preserve">Subject Librarians........................ </w:t>
      </w:r>
      <w:hyperlink r:id="rId19">
        <w:r>
          <w:rPr>
            <w:color w:val="0000FF"/>
            <w:u w:val="single" w:color="0000FF"/>
          </w:rPr>
          <w:t>http://www.uta.edu/library/help/subject-librarians.php</w:t>
        </w:r>
      </w:hyperlink>
    </w:p>
    <w:p w:rsidR="00944692" w:rsidRDefault="00B15D56">
      <w:pPr>
        <w:spacing w:after="16" w:line="259" w:lineRule="auto"/>
        <w:ind w:left="-5"/>
      </w:pPr>
      <w:r>
        <w:t xml:space="preserve">Course Reserves.......................... </w:t>
      </w:r>
      <w:hyperlink r:id="rId20">
        <w:r>
          <w:rPr>
            <w:color w:val="0000FF"/>
            <w:u w:val="single" w:color="0000FF"/>
          </w:rPr>
          <w:t>http://pulse.uta.edu/vwebv/enterCourseReserve.do</w:t>
        </w:r>
      </w:hyperlink>
    </w:p>
    <w:p w:rsidR="00944692" w:rsidRDefault="00B15D56">
      <w:pPr>
        <w:spacing w:after="16" w:line="259" w:lineRule="auto"/>
        <w:ind w:left="-5"/>
      </w:pPr>
      <w:r>
        <w:t xml:space="preserve">Library </w:t>
      </w:r>
      <w:proofErr w:type="gramStart"/>
      <w:r>
        <w:t>Tutorials .........................</w:t>
      </w:r>
      <w:proofErr w:type="gramEnd"/>
      <w:r>
        <w:t xml:space="preserve"> </w:t>
      </w:r>
      <w:hyperlink r:id="rId21">
        <w:r>
          <w:rPr>
            <w:color w:val="0000FF"/>
            <w:u w:val="single" w:color="0000FF"/>
          </w:rPr>
          <w:t>http://www.uta.edu/library/help/tutorials.php</w:t>
        </w:r>
      </w:hyperlink>
    </w:p>
    <w:p w:rsidR="00944692" w:rsidRDefault="00B15D56">
      <w:pPr>
        <w:ind w:left="-5" w:right="3548"/>
        <w:rPr>
          <w:color w:val="0000FF"/>
          <w:u w:val="single" w:color="0000FF"/>
        </w:rPr>
      </w:pPr>
      <w:r>
        <w:t xml:space="preserve">Connecting from Off- Campus....... </w:t>
      </w:r>
      <w:hyperlink r:id="rId22">
        <w:r>
          <w:rPr>
            <w:color w:val="0000FF"/>
            <w:u w:val="single" w:color="0000FF"/>
          </w:rPr>
          <w:t xml:space="preserve">http://libguides.uta.edu/offcampus </w:t>
        </w:r>
      </w:hyperlink>
      <w:r>
        <w:t xml:space="preserve">Ask a Librarian............................ </w:t>
      </w:r>
      <w:hyperlink r:id="rId23">
        <w:r>
          <w:rPr>
            <w:color w:val="0000FF"/>
            <w:u w:val="single" w:color="0000FF"/>
          </w:rPr>
          <w:t>http://ask.uta.edu</w:t>
        </w:r>
      </w:hyperlink>
    </w:p>
    <w:p w:rsidR="00B15D56" w:rsidRDefault="00B15D56">
      <w:pPr>
        <w:ind w:left="-5" w:right="3548"/>
      </w:pPr>
    </w:p>
    <w:p w:rsidR="00944692" w:rsidRDefault="00B15D56">
      <w:pPr>
        <w:pStyle w:val="Heading1"/>
        <w:ind w:left="-5" w:right="99"/>
      </w:pPr>
      <w:r>
        <w:t>N. Emergency Exit Procedures</w:t>
      </w:r>
    </w:p>
    <w:p w:rsidR="00944692" w:rsidRDefault="00B15D56">
      <w:pPr>
        <w:ind w:left="-5"/>
      </w:pPr>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15D56" w:rsidRDefault="00B15D56">
      <w:pPr>
        <w:ind w:left="-5"/>
      </w:pPr>
    </w:p>
    <w:p w:rsidR="00944692" w:rsidRDefault="00B15D56">
      <w:pPr>
        <w:pStyle w:val="Heading1"/>
        <w:ind w:left="-5" w:right="99"/>
      </w:pPr>
      <w:r>
        <w:t>O. Drop Policy</w:t>
      </w:r>
    </w:p>
    <w:p w:rsidR="00944692" w:rsidRDefault="00B15D56">
      <w:pPr>
        <w:ind w:left="-5"/>
      </w:pP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 </w:t>
      </w:r>
      <w:hyperlink r:id="rId24">
        <w:r>
          <w:rPr>
            <w:color w:val="0000FF"/>
            <w:u w:val="single" w:color="0000FF"/>
          </w:rPr>
          <w:t>http://wweb.uta.edu/aao/fao/</w:t>
        </w:r>
      </w:hyperlink>
      <w:r>
        <w:t>).</w:t>
      </w:r>
    </w:p>
    <w:p w:rsidR="00944692" w:rsidRDefault="00B15D56">
      <w:pPr>
        <w:pStyle w:val="Heading1"/>
        <w:ind w:left="-5" w:right="99"/>
      </w:pPr>
      <w:r>
        <w:lastRenderedPageBreak/>
        <w:t>P. Disability Accommodations</w:t>
      </w:r>
    </w:p>
    <w:p w:rsidR="00944692" w:rsidRDefault="00B15D56">
      <w:pPr>
        <w:ind w:left="-5"/>
      </w:pPr>
      <w:r>
        <w:t xml:space="preserve">UT 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rPr>
        <w:t>a letter certified</w:t>
      </w:r>
      <w: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944692" w:rsidRDefault="00B15D56">
      <w:pPr>
        <w:spacing w:after="8"/>
        <w:ind w:left="-5" w:right="99"/>
        <w:jc w:val="both"/>
      </w:pPr>
      <w:r>
        <w:rPr>
          <w:b/>
        </w:rPr>
        <w:t>The Office for Students with Disabilities, (OSD)</w:t>
      </w:r>
      <w:r>
        <w:t xml:space="preserve"> </w:t>
      </w:r>
      <w:hyperlink r:id="rId25">
        <w:r>
          <w:rPr>
            <w:color w:val="0000FF"/>
            <w:u w:val="single" w:color="0000FF"/>
          </w:rPr>
          <w:t>www.uta.edu/disability</w:t>
        </w:r>
      </w:hyperlink>
      <w:r>
        <w:t xml:space="preserve"> or calling 817-272-3364.</w:t>
      </w:r>
    </w:p>
    <w:p w:rsidR="00944692" w:rsidRDefault="00B15D56">
      <w:pPr>
        <w:ind w:left="-5"/>
      </w:pPr>
      <w:r>
        <w:t xml:space="preserve">Information regarding diagnostic criteria and policies for obtaining disability-based academic accommodations can be found </w:t>
      </w:r>
      <w:proofErr w:type="gramStart"/>
      <w:r>
        <w:t xml:space="preserve">at </w:t>
      </w:r>
      <w:proofErr w:type="gramEnd"/>
      <w:r>
        <w:fldChar w:fldCharType="begin"/>
      </w:r>
      <w:r>
        <w:instrText xml:space="preserve"> HYPERLINK "http://www.uta.edu/disability" \h </w:instrText>
      </w:r>
      <w:r>
        <w:fldChar w:fldCharType="separate"/>
      </w:r>
      <w:r>
        <w:rPr>
          <w:color w:val="0000FF"/>
          <w:u w:val="single" w:color="000000"/>
        </w:rPr>
        <w:t>www.uta.edu/disability</w:t>
      </w:r>
      <w:r>
        <w:rPr>
          <w:color w:val="0000FF"/>
          <w:u w:val="single" w:color="000000"/>
        </w:rPr>
        <w:fldChar w:fldCharType="end"/>
      </w:r>
      <w:r>
        <w:rPr>
          <w:u w:val="single" w:color="000000"/>
        </w:rPr>
        <w:t>.</w:t>
      </w:r>
    </w:p>
    <w:p w:rsidR="00944692" w:rsidRDefault="00B15D56">
      <w:pPr>
        <w:spacing w:after="224" w:line="275" w:lineRule="auto"/>
        <w:ind w:left="-5" w:right="12"/>
        <w:jc w:val="both"/>
      </w:pPr>
      <w:r>
        <w:rPr>
          <w:b/>
        </w:rPr>
        <w:t xml:space="preserve">Counseling and Psychological Services, (CAPS)   </w:t>
      </w:r>
      <w:hyperlink r:id="rId26">
        <w:r>
          <w:rPr>
            <w:color w:val="0000FF"/>
            <w:u w:val="single" w:color="0000FF"/>
          </w:rPr>
          <w:t>www.uta.edu/caps/</w:t>
        </w:r>
      </w:hyperlink>
      <w:r>
        <w:t xml:space="preserve"> or calling 817-272-3671 is also available to all students to help increase their understanding of personal issues, address mental and behavioral health problems and make positive changes in their lives.</w:t>
      </w:r>
    </w:p>
    <w:p w:rsidR="00B15D56" w:rsidRDefault="00B15D56">
      <w:pPr>
        <w:spacing w:after="224" w:line="275" w:lineRule="auto"/>
        <w:ind w:left="-5" w:right="12"/>
        <w:jc w:val="both"/>
      </w:pPr>
    </w:p>
    <w:p w:rsidR="00944692" w:rsidRDefault="00B15D56">
      <w:pPr>
        <w:pStyle w:val="Heading1"/>
        <w:ind w:left="-5" w:right="99"/>
      </w:pPr>
      <w:r>
        <w:t>Q. Non-Discrimination Policy</w:t>
      </w:r>
    </w:p>
    <w:p w:rsidR="00944692" w:rsidRDefault="00B15D56">
      <w:pPr>
        <w:spacing w:after="231" w:line="267" w:lineRule="auto"/>
        <w:ind w:left="-5"/>
        <w:rPr>
          <w:i/>
        </w:rPr>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proofErr w:type="gramStart"/>
      <w:r>
        <w:rPr>
          <w:i/>
        </w:rPr>
        <w:t xml:space="preserve">visit </w:t>
      </w:r>
      <w:proofErr w:type="gramEnd"/>
      <w:r>
        <w:fldChar w:fldCharType="begin"/>
      </w:r>
      <w:r>
        <w:instrText xml:space="preserve"> HYPERLINK "http://www.uta.edu/hr/eos/index.php" \h </w:instrText>
      </w:r>
      <w:r>
        <w:fldChar w:fldCharType="separate"/>
      </w:r>
      <w:r>
        <w:rPr>
          <w:i/>
          <w:color w:val="0000FF"/>
          <w:u w:val="single" w:color="0000FF"/>
        </w:rPr>
        <w:t>uta.edu/eos</w:t>
      </w:r>
      <w:r>
        <w:rPr>
          <w:i/>
          <w:color w:val="0000FF"/>
          <w:u w:val="single" w:color="0000FF"/>
        </w:rPr>
        <w:fldChar w:fldCharType="end"/>
      </w:r>
      <w:r>
        <w:rPr>
          <w:i/>
        </w:rPr>
        <w:t>.</w:t>
      </w:r>
    </w:p>
    <w:p w:rsidR="00B15D56" w:rsidRDefault="00B15D56">
      <w:pPr>
        <w:spacing w:after="231" w:line="267" w:lineRule="auto"/>
        <w:ind w:left="-5"/>
      </w:pPr>
    </w:p>
    <w:p w:rsidR="00944692" w:rsidRDefault="00B15D56">
      <w:pPr>
        <w:pStyle w:val="Heading1"/>
        <w:ind w:left="-5" w:right="99"/>
      </w:pPr>
      <w:r>
        <w:t>R. Title IX Policy</w:t>
      </w:r>
    </w:p>
    <w:p w:rsidR="00944692" w:rsidRDefault="00B15D56">
      <w:pPr>
        <w:ind w:left="-5"/>
      </w:pPr>
      <w: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t>SaVE</w:t>
      </w:r>
      <w:proofErr w:type="spellEnd"/>
      <w:r>
        <w:t xml:space="preserve"> Act). Sexual misconduct is a form of sex discrimination and will not be tolerated. </w:t>
      </w:r>
      <w:r>
        <w:rPr>
          <w:i/>
        </w:rPr>
        <w:t>For information regarding Title IX, visit</w:t>
      </w:r>
      <w:r>
        <w:t xml:space="preserve"> </w:t>
      </w:r>
      <w:hyperlink r:id="rId27">
        <w:r>
          <w:rPr>
            <w:color w:val="0000FF"/>
            <w:u w:val="single" w:color="0000FF"/>
          </w:rPr>
          <w:t>www.uta.edu/titleIX</w:t>
        </w:r>
      </w:hyperlink>
      <w:r>
        <w:t xml:space="preserve"> or contact Ms. Jean Hood, Vice President and Title IX Coordinator at (817) 272-7091 or </w:t>
      </w:r>
      <w:hyperlink r:id="rId28">
        <w:r>
          <w:rPr>
            <w:color w:val="0000FF"/>
            <w:u w:val="single" w:color="0000FF"/>
          </w:rPr>
          <w:t>jmhood@uta.edu</w:t>
        </w:r>
      </w:hyperlink>
      <w:r>
        <w:t>.</w:t>
      </w:r>
    </w:p>
    <w:p w:rsidR="00B15D56" w:rsidRDefault="00B15D56">
      <w:pPr>
        <w:ind w:left="-5"/>
      </w:pPr>
    </w:p>
    <w:p w:rsidR="00944692" w:rsidRDefault="00B15D56">
      <w:pPr>
        <w:pStyle w:val="Heading1"/>
        <w:ind w:left="-5" w:right="99"/>
      </w:pPr>
      <w:r>
        <w:t>S. Academic Integrity</w:t>
      </w:r>
    </w:p>
    <w:p w:rsidR="00944692" w:rsidRDefault="00B15D56">
      <w:pPr>
        <w:spacing w:after="455"/>
        <w:ind w:left="-5"/>
      </w:pPr>
      <w:r>
        <w:t>Students enrolled all UT Arlington courses are expected to adhere to the UT Arlington Honor Code:</w:t>
      </w:r>
    </w:p>
    <w:p w:rsidR="00944692" w:rsidRDefault="00B15D56">
      <w:pPr>
        <w:spacing w:after="231" w:line="267" w:lineRule="auto"/>
        <w:ind w:left="610" w:right="305"/>
      </w:pPr>
      <w:r>
        <w:rPr>
          <w:i/>
        </w:rPr>
        <w:t>I pledge, on my honor, to uphold UT Arlington’s tradition of academic integrity, a tradition that values hard work and honest effort in the pursuit of academic excellence.</w:t>
      </w:r>
    </w:p>
    <w:p w:rsidR="00944692" w:rsidRDefault="00B15D56">
      <w:pPr>
        <w:spacing w:after="455" w:line="267" w:lineRule="auto"/>
        <w:ind w:left="610" w:right="528"/>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44692" w:rsidRDefault="00B15D56">
      <w:pPr>
        <w:ind w:left="-5"/>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t>
      </w:r>
      <w:r>
        <w:lastRenderedPageBreak/>
        <w:t xml:space="preserve">will be referred to the Office of Student Conduct. Violators will be disciplined in accordance with University policy, which may result in the student’s suspension or expulsion from the University. Additional information is available </w:t>
      </w:r>
      <w:proofErr w:type="gramStart"/>
      <w:r>
        <w:t xml:space="preserve">at </w:t>
      </w:r>
      <w:proofErr w:type="gramEnd"/>
      <w:r>
        <w:rPr>
          <w:color w:val="0000FF"/>
          <w:u w:val="single" w:color="0000FF"/>
        </w:rPr>
        <w:fldChar w:fldCharType="begin"/>
      </w:r>
      <w:r>
        <w:rPr>
          <w:color w:val="0000FF"/>
          <w:u w:val="single" w:color="0000FF"/>
        </w:rPr>
        <w:instrText xml:space="preserve"> HYPERLINK "https://www.uta.edu/conduct/" </w:instrText>
      </w:r>
      <w:r>
        <w:rPr>
          <w:color w:val="0000FF"/>
          <w:u w:val="single" w:color="0000FF"/>
        </w:rPr>
        <w:fldChar w:fldCharType="separate"/>
      </w:r>
      <w:r w:rsidRPr="000277D4">
        <w:rPr>
          <w:rStyle w:val="Hyperlink"/>
          <w:u w:color="0000FF"/>
        </w:rPr>
        <w:t>https://www.uta.edu/conduct/</w:t>
      </w:r>
      <w:r>
        <w:rPr>
          <w:color w:val="0000FF"/>
          <w:u w:val="single" w:color="0000FF"/>
        </w:rPr>
        <w:fldChar w:fldCharType="end"/>
      </w:r>
      <w:r>
        <w:t>.</w:t>
      </w:r>
    </w:p>
    <w:p w:rsidR="00B15D56" w:rsidRDefault="00B15D56">
      <w:pPr>
        <w:ind w:left="-5"/>
      </w:pPr>
    </w:p>
    <w:p w:rsidR="00944692" w:rsidRDefault="00B15D56">
      <w:pPr>
        <w:pStyle w:val="Heading1"/>
        <w:ind w:left="-5" w:right="99"/>
      </w:pPr>
      <w:r>
        <w:t>T. Electronic Communication</w:t>
      </w:r>
    </w:p>
    <w:p w:rsidR="00944692" w:rsidRDefault="00B15D56">
      <w:pPr>
        <w:ind w:left="-5"/>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w:t>
      </w:r>
      <w:proofErr w:type="gramStart"/>
      <w:r>
        <w:t xml:space="preserve">at </w:t>
      </w:r>
      <w:proofErr w:type="gramEnd"/>
      <w:r>
        <w:fldChar w:fldCharType="begin"/>
      </w:r>
      <w:r>
        <w:instrText xml:space="preserve"> HYPERLINK "http://www.uta.edu/oit/cs/email/mavmail.php" \h </w:instrText>
      </w:r>
      <w:r>
        <w:fldChar w:fldCharType="separate"/>
      </w:r>
      <w:r>
        <w:rPr>
          <w:color w:val="0000FF"/>
          <w:u w:val="single" w:color="0000FF"/>
        </w:rPr>
        <w:t>http://www.uta.edu/oit/cs/email/mavmail.php</w:t>
      </w:r>
      <w:r>
        <w:rPr>
          <w:color w:val="0000FF"/>
          <w:u w:val="single" w:color="0000FF"/>
        </w:rPr>
        <w:fldChar w:fldCharType="end"/>
      </w:r>
      <w:r>
        <w:t>.</w:t>
      </w:r>
    </w:p>
    <w:p w:rsidR="00B15D56" w:rsidRDefault="00B15D56">
      <w:pPr>
        <w:ind w:left="-5"/>
      </w:pPr>
    </w:p>
    <w:p w:rsidR="00944692" w:rsidRDefault="00B15D56">
      <w:pPr>
        <w:pStyle w:val="Heading1"/>
        <w:ind w:left="-5" w:right="99"/>
      </w:pPr>
      <w:r>
        <w:t>U. Campus Carry</w:t>
      </w:r>
    </w:p>
    <w:p w:rsidR="00944692" w:rsidRDefault="00B15D56">
      <w:pPr>
        <w:ind w:left="-5"/>
        <w:rPr>
          <w:color w:val="0000FF"/>
          <w:u w:val="single" w:color="0000FF"/>
        </w:rPr>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r>
          <w:rPr>
            <w:color w:val="0000FF"/>
            <w:u w:val="single" w:color="0000FF"/>
          </w:rPr>
          <w:t>http://www.uta.edu/news/info/campus-carry/</w:t>
        </w:r>
      </w:hyperlink>
    </w:p>
    <w:p w:rsidR="00B15D56" w:rsidRDefault="00B15D56">
      <w:pPr>
        <w:ind w:left="-5"/>
      </w:pPr>
    </w:p>
    <w:p w:rsidR="00944692" w:rsidRDefault="00B15D56">
      <w:pPr>
        <w:pStyle w:val="Heading1"/>
        <w:ind w:left="-5" w:right="99"/>
      </w:pPr>
      <w:r>
        <w:t>V. Student Feedback Survey</w:t>
      </w:r>
    </w:p>
    <w:p w:rsidR="00944692" w:rsidRDefault="00B15D56">
      <w:pPr>
        <w:spacing w:after="7"/>
        <w:ind w:left="-5"/>
      </w:pPr>
      <w:r>
        <w:t>At the end of each term, students enrolled in face-to-face and online classes categorized as “lecture,”</w:t>
      </w:r>
    </w:p>
    <w:p w:rsidR="00944692" w:rsidRDefault="00B15D56">
      <w:pPr>
        <w:spacing w:after="224" w:line="275" w:lineRule="auto"/>
        <w:ind w:left="-5" w:right="12"/>
        <w:jc w:val="both"/>
      </w:pPr>
      <w:r>
        <w:t>“</w:t>
      </w:r>
      <w:proofErr w:type="gramStart"/>
      <w:r>
        <w:t>seminar</w:t>
      </w:r>
      <w:proofErr w:type="gramEnd"/>
      <w:r>
        <w:t xml:space="preserve">,”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w:t>
      </w:r>
      <w:proofErr w:type="gramStart"/>
      <w:r>
        <w:t xml:space="preserve">visit </w:t>
      </w:r>
      <w:proofErr w:type="gramEnd"/>
      <w:hyperlink r:id="rId30">
        <w:r>
          <w:rPr>
            <w:color w:val="0000FF"/>
            <w:u w:val="single" w:color="0000FF"/>
          </w:rPr>
          <w:t>http://www.uta.edu/sfs</w:t>
        </w:r>
      </w:hyperlink>
      <w:r>
        <w:t>.</w:t>
      </w:r>
    </w:p>
    <w:p w:rsidR="00B15D56" w:rsidRDefault="00B15D56">
      <w:pPr>
        <w:spacing w:after="224" w:line="275" w:lineRule="auto"/>
        <w:ind w:left="-5" w:right="12"/>
        <w:jc w:val="both"/>
      </w:pPr>
    </w:p>
    <w:p w:rsidR="00944692" w:rsidRDefault="00B15D56">
      <w:pPr>
        <w:pStyle w:val="Heading1"/>
        <w:ind w:left="-5" w:right="99"/>
      </w:pPr>
      <w:r>
        <w:t>W. Final Review Week</w:t>
      </w:r>
    </w:p>
    <w:p w:rsidR="00944692" w:rsidRDefault="00B15D56">
      <w:pPr>
        <w:ind w:left="-5"/>
      </w:pPr>
      <w:r>
        <w:t>For semester-long courses</w:t>
      </w:r>
      <w:r>
        <w:rPr>
          <w:b/>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944692">
      <w:footerReference w:type="even" r:id="rId31"/>
      <w:footerReference w:type="default" r:id="rId32"/>
      <w:footerReference w:type="first" r:id="rId33"/>
      <w:pgSz w:w="11906" w:h="16838"/>
      <w:pgMar w:top="907" w:right="847" w:bottom="969"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0E" w:rsidRDefault="00B15D56">
      <w:pPr>
        <w:spacing w:after="0" w:line="240" w:lineRule="auto"/>
      </w:pPr>
      <w:r>
        <w:separator/>
      </w:r>
    </w:p>
  </w:endnote>
  <w:endnote w:type="continuationSeparator" w:id="0">
    <w:p w:rsidR="0000540E" w:rsidRDefault="00B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2" w:rsidRDefault="00B15D56">
    <w:pPr>
      <w:spacing w:after="0" w:line="259" w:lineRule="auto"/>
      <w:ind w:left="0" w:right="4"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2" w:rsidRDefault="00B15D56">
    <w:pPr>
      <w:spacing w:after="0" w:line="259" w:lineRule="auto"/>
      <w:ind w:left="0" w:right="4" w:firstLine="0"/>
      <w:jc w:val="right"/>
    </w:pPr>
    <w:r>
      <w:fldChar w:fldCharType="begin"/>
    </w:r>
    <w:r>
      <w:instrText xml:space="preserve"> PAGE   \* MERGEFORMAT </w:instrText>
    </w:r>
    <w:r>
      <w:fldChar w:fldCharType="separate"/>
    </w:r>
    <w:r w:rsidR="006F6E2B" w:rsidRPr="006F6E2B">
      <w:rPr>
        <w:b/>
        <w:i/>
        <w:noProof/>
        <w:sz w:val="16"/>
      </w:rPr>
      <w:t>10</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92" w:rsidRDefault="00B15D56">
    <w:pPr>
      <w:spacing w:after="0" w:line="259" w:lineRule="auto"/>
      <w:ind w:left="0" w:right="4"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0E" w:rsidRDefault="00B15D56">
      <w:pPr>
        <w:spacing w:after="0" w:line="240" w:lineRule="auto"/>
      </w:pPr>
      <w:r>
        <w:separator/>
      </w:r>
    </w:p>
  </w:footnote>
  <w:footnote w:type="continuationSeparator" w:id="0">
    <w:p w:rsidR="0000540E" w:rsidRDefault="00B15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80D"/>
    <w:multiLevelType w:val="hybridMultilevel"/>
    <w:tmpl w:val="1BE2304C"/>
    <w:lvl w:ilvl="0" w:tplc="5B72A488">
      <w:start w:val="1"/>
      <w:numFmt w:val="decimal"/>
      <w:lvlText w:val="%1)"/>
      <w:lvlJc w:val="left"/>
      <w:pPr>
        <w:ind w:left="2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CE6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6CC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16B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6CD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72B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007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1890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851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8280E"/>
    <w:multiLevelType w:val="hybridMultilevel"/>
    <w:tmpl w:val="AE6E309E"/>
    <w:lvl w:ilvl="0" w:tplc="83EA30FA">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56E402C6">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ADCABD70">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1FCEA962">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A41EB094">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AB6CEF86">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984C1AAC">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84AE672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20A6DF08">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2" w15:restartNumberingAfterBreak="0">
    <w:nsid w:val="2DD16589"/>
    <w:multiLevelType w:val="hybridMultilevel"/>
    <w:tmpl w:val="FE4C7702"/>
    <w:lvl w:ilvl="0" w:tplc="1B5E2F12">
      <w:start w:val="1"/>
      <w:numFmt w:val="decimal"/>
      <w:lvlText w:val="%1."/>
      <w:lvlJc w:val="left"/>
      <w:pPr>
        <w:ind w:left="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4C0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A7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21C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A6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C4BB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8B1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0DD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8CE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E17865"/>
    <w:multiLevelType w:val="hybridMultilevel"/>
    <w:tmpl w:val="28E43E26"/>
    <w:lvl w:ilvl="0" w:tplc="8C203FA0">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30D00B32">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F46A4FBA">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0A2470C6">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D41CE182">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E1F29EAC">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B156DFFC">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76E8FE02">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22486A24">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4" w15:restartNumberingAfterBreak="0">
    <w:nsid w:val="3DF355F9"/>
    <w:multiLevelType w:val="hybridMultilevel"/>
    <w:tmpl w:val="E4BA38EE"/>
    <w:lvl w:ilvl="0" w:tplc="8BBC55FA">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B7AA9DAC">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685297A4">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D99CBF28">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DA487A68">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6C6AC064">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64382F66">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CDFAA9A4">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8B026BAE">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5" w15:restartNumberingAfterBreak="0">
    <w:nsid w:val="4A630B96"/>
    <w:multiLevelType w:val="hybridMultilevel"/>
    <w:tmpl w:val="4888E906"/>
    <w:lvl w:ilvl="0" w:tplc="419A369C">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46080BD0">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79B214F0">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9964FAA0">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52F27206">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AA46E236">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BE9AA378">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CDBEA79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36023A9A">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6" w15:restartNumberingAfterBreak="0">
    <w:nsid w:val="57C55789"/>
    <w:multiLevelType w:val="hybridMultilevel"/>
    <w:tmpl w:val="C368E102"/>
    <w:lvl w:ilvl="0" w:tplc="A72E32FC">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6414DE20">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F81A9206">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656441F2">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5BCAB876">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27BCE20E">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EFECF294">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AA40FB42">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BF4C5D12">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7" w15:restartNumberingAfterBreak="0">
    <w:nsid w:val="6F0D022B"/>
    <w:multiLevelType w:val="hybridMultilevel"/>
    <w:tmpl w:val="A462CB16"/>
    <w:lvl w:ilvl="0" w:tplc="8024787A">
      <w:start w:val="1"/>
      <w:numFmt w:val="bullet"/>
      <w:lvlText w:val="●"/>
      <w:lvlJc w:val="left"/>
      <w:pPr>
        <w:ind w:left="149"/>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1" w:tplc="6B541478">
      <w:start w:val="1"/>
      <w:numFmt w:val="bullet"/>
      <w:lvlText w:val="o"/>
      <w:lvlJc w:val="left"/>
      <w:pPr>
        <w:ind w:left="108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89CCCCB0">
      <w:start w:val="1"/>
      <w:numFmt w:val="bullet"/>
      <w:lvlText w:val="▪"/>
      <w:lvlJc w:val="left"/>
      <w:pPr>
        <w:ind w:left="18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046E29B4">
      <w:start w:val="1"/>
      <w:numFmt w:val="bullet"/>
      <w:lvlText w:val="•"/>
      <w:lvlJc w:val="left"/>
      <w:pPr>
        <w:ind w:left="252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52945FEA">
      <w:start w:val="1"/>
      <w:numFmt w:val="bullet"/>
      <w:lvlText w:val="o"/>
      <w:lvlJc w:val="left"/>
      <w:pPr>
        <w:ind w:left="324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EDF0A2CA">
      <w:start w:val="1"/>
      <w:numFmt w:val="bullet"/>
      <w:lvlText w:val="▪"/>
      <w:lvlJc w:val="left"/>
      <w:pPr>
        <w:ind w:left="396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BE6252C6">
      <w:start w:val="1"/>
      <w:numFmt w:val="bullet"/>
      <w:lvlText w:val="•"/>
      <w:lvlJc w:val="left"/>
      <w:pPr>
        <w:ind w:left="4680"/>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C7442A2A">
      <w:start w:val="1"/>
      <w:numFmt w:val="bullet"/>
      <w:lvlText w:val="o"/>
      <w:lvlJc w:val="left"/>
      <w:pPr>
        <w:ind w:left="540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03763E18">
      <w:start w:val="1"/>
      <w:numFmt w:val="bullet"/>
      <w:lvlText w:val="▪"/>
      <w:lvlJc w:val="left"/>
      <w:pPr>
        <w:ind w:left="6120"/>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2"/>
    <w:rsid w:val="0000540E"/>
    <w:rsid w:val="00020791"/>
    <w:rsid w:val="00336F11"/>
    <w:rsid w:val="006F6E2B"/>
    <w:rsid w:val="00944692"/>
    <w:rsid w:val="00977827"/>
    <w:rsid w:val="00B15D56"/>
    <w:rsid w:val="00E8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52F17-92E6-421A-A3C3-EA5EAA0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7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2" w:line="270" w:lineRule="auto"/>
      <w:ind w:left="10" w:right="4" w:hanging="10"/>
      <w:jc w:val="both"/>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5D56"/>
    <w:rPr>
      <w:color w:val="0563C1" w:themeColor="hyperlink"/>
      <w:u w:val="single"/>
    </w:rPr>
  </w:style>
  <w:style w:type="paragraph" w:styleId="BalloonText">
    <w:name w:val="Balloon Text"/>
    <w:basedOn w:val="Normal"/>
    <w:link w:val="BalloonTextChar"/>
    <w:uiPriority w:val="99"/>
    <w:semiHidden/>
    <w:unhideWhenUsed/>
    <w:rsid w:val="0033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www.uta.edu/universitycollege/resources/advising.php" TargetMode="External"/><Relationship Id="rId18" Type="http://schemas.openxmlformats.org/officeDocument/2006/relationships/hyperlink" Target="http://libguides.uta.edu/" TargetMode="External"/><Relationship Id="rId26" Type="http://schemas.openxmlformats.org/officeDocument/2006/relationships/hyperlink" Target="http://www.uta.edu/caps/" TargetMode="External"/><Relationship Id="rId3" Type="http://schemas.openxmlformats.org/officeDocument/2006/relationships/settings" Target="settings.xml"/><Relationship Id="rId21" Type="http://schemas.openxmlformats.org/officeDocument/2006/relationships/hyperlink" Target="http://www.uta.edu/library/help/tutorials.php"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uta.edu/universitycollege/resources/college-based-clinics-labs.php" TargetMode="External"/><Relationship Id="rId17" Type="http://schemas.openxmlformats.org/officeDocument/2006/relationships/hyperlink" Target="http://www.uta.edu/library" TargetMode="External"/><Relationship Id="rId25" Type="http://schemas.openxmlformats.org/officeDocument/2006/relationships/hyperlink" Target="http://www.uta.edu/disability"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ta.edu/library/services/distance.php" TargetMode="External"/><Relationship Id="rId20" Type="http://schemas.openxmlformats.org/officeDocument/2006/relationships/hyperlink" Target="http://pulse.uta.edu/vwebv/enterCourseReserve.do" TargetMode="External"/><Relationship Id="rId29"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eb.uta.edu/aao/fao/"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ps/services/psychiatric.php" TargetMode="External"/><Relationship Id="rId23" Type="http://schemas.openxmlformats.org/officeDocument/2006/relationships/hyperlink" Target="http://ask.uta.edu/" TargetMode="External"/><Relationship Id="rId28" Type="http://schemas.openxmlformats.org/officeDocument/2006/relationships/hyperlink" Target="http://www.uta.edu/provost/administrative-forms/jmhood@uta.edu" TargetMode="External"/><Relationship Id="rId10" Type="http://schemas.openxmlformats.org/officeDocument/2006/relationships/hyperlink" Target="http://www.uta.edu/ssw/_documents/msw/msw-program-manual.pdf" TargetMode="External"/><Relationship Id="rId19" Type="http://schemas.openxmlformats.org/officeDocument/2006/relationships/hyperlink" Target="http://www.uta.edu/library/help/subject-librarians.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a.edu/_documents/bsw/bsw-program-manual.pdf" TargetMode="External"/><Relationship Id="rId14" Type="http://schemas.openxmlformats.org/officeDocument/2006/relationships/hyperlink" Target="http://www.uta.edu/universitycollege/current/academic-support/mcnair/index.php" TargetMode="External"/><Relationship Id="rId22" Type="http://schemas.openxmlformats.org/officeDocument/2006/relationships/hyperlink" Target="http://libguides.uta.edu/offcampus" TargetMode="External"/><Relationship Id="rId27" Type="http://schemas.openxmlformats.org/officeDocument/2006/relationships/hyperlink" Target="http://www.uta.edu/titleIX" TargetMode="External"/><Relationship Id="rId30" Type="http://schemas.openxmlformats.org/officeDocument/2006/relationships/hyperlink" Target="http://www.uta.edu/sf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cp:lastPrinted>2017-01-14T18:15:00Z</cp:lastPrinted>
  <dcterms:created xsi:type="dcterms:W3CDTF">2017-01-14T19:52:00Z</dcterms:created>
  <dcterms:modified xsi:type="dcterms:W3CDTF">2017-01-14T19:52:00Z</dcterms:modified>
</cp:coreProperties>
</file>