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ED10B3" w:rsidP="00DF20A8">
      <w:pPr>
        <w:jc w:val="center"/>
        <w:rPr>
          <w:rFonts w:ascii="Arial" w:hAnsi="Arial" w:cs="Arial"/>
          <w:sz w:val="12"/>
          <w:szCs w:val="12"/>
        </w:rPr>
      </w:pPr>
      <w:r>
        <w:rPr>
          <w:rFonts w:ascii="Arial" w:hAnsi="Arial" w:cs="Arial"/>
          <w:b/>
          <w:sz w:val="21"/>
          <w:szCs w:val="21"/>
        </w:rPr>
        <w:t>CSE 5321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6C237E" w:rsidP="00CE1818">
      <w:pPr>
        <w:jc w:val="center"/>
        <w:rPr>
          <w:rFonts w:ascii="Arial" w:hAnsi="Arial" w:cs="Arial"/>
          <w:sz w:val="21"/>
          <w:szCs w:val="21"/>
        </w:rPr>
      </w:pPr>
      <w:r>
        <w:rPr>
          <w:rFonts w:ascii="Arial" w:hAnsi="Arial" w:cs="Arial"/>
          <w:sz w:val="21"/>
          <w:szCs w:val="21"/>
        </w:rPr>
        <w:t>Spring</w:t>
      </w:r>
      <w:r w:rsidR="00CE1818" w:rsidRPr="0016052E">
        <w:rPr>
          <w:rFonts w:ascii="Arial" w:hAnsi="Arial" w:cs="Arial"/>
          <w:sz w:val="21"/>
          <w:szCs w:val="21"/>
        </w:rPr>
        <w:t xml:space="preserve"> 20</w:t>
      </w:r>
      <w:r w:rsidR="00DF20A8">
        <w:rPr>
          <w:rFonts w:ascii="Arial" w:hAnsi="Arial" w:cs="Arial"/>
          <w:sz w:val="21"/>
          <w:szCs w:val="21"/>
        </w:rPr>
        <w:t>1</w:t>
      </w:r>
      <w:r>
        <w:rPr>
          <w:rFonts w:ascii="Arial" w:hAnsi="Arial" w:cs="Arial"/>
          <w:sz w:val="21"/>
          <w:szCs w:val="21"/>
        </w:rPr>
        <w:t>7</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B50E30">
        <w:rPr>
          <w:rFonts w:ascii="Arial" w:hAnsi="Arial" w:cs="Arial"/>
          <w:sz w:val="21"/>
          <w:szCs w:val="21"/>
        </w:rPr>
        <w:t>12:45-1:45p</w:t>
      </w:r>
      <w:r w:rsidR="00251EF2">
        <w:rPr>
          <w:rFonts w:ascii="Arial" w:hAnsi="Arial" w:cs="Arial"/>
          <w:sz w:val="21"/>
          <w:szCs w:val="21"/>
        </w:rPr>
        <w:t>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t xml:space="preserve">: </w:t>
      </w:r>
      <w:r w:rsidR="00D46B2C" w:rsidRPr="00D46B2C">
        <w:rPr>
          <w:rFonts w:ascii="Arial" w:hAnsi="Arial" w:cs="Arial"/>
          <w:sz w:val="21"/>
          <w:szCs w:val="21"/>
        </w:rPr>
        <w:t xml:space="preserve">Kamran </w:t>
      </w:r>
      <w:proofErr w:type="spellStart"/>
      <w:r w:rsidR="00D46B2C">
        <w:rPr>
          <w:rFonts w:ascii="Arial" w:hAnsi="Arial" w:cs="Arial"/>
          <w:sz w:val="21"/>
          <w:szCs w:val="21"/>
        </w:rPr>
        <w:t>Ghasedi</w:t>
      </w:r>
      <w:proofErr w:type="spellEnd"/>
      <w:r w:rsidR="00D46B2C">
        <w:rPr>
          <w:rFonts w:ascii="Arial" w:hAnsi="Arial" w:cs="Arial"/>
          <w:sz w:val="21"/>
          <w:szCs w:val="21"/>
        </w:rPr>
        <w:t xml:space="preserve"> </w:t>
      </w:r>
      <w:proofErr w:type="spellStart"/>
      <w:r w:rsidR="00D46B2C">
        <w:rPr>
          <w:rFonts w:ascii="Arial" w:hAnsi="Arial" w:cs="Arial"/>
          <w:sz w:val="21"/>
          <w:szCs w:val="21"/>
        </w:rPr>
        <w:t>Dizaji</w:t>
      </w:r>
      <w:proofErr w:type="spellEnd"/>
      <w:r w:rsidR="00D46B2C">
        <w:rPr>
          <w:rFonts w:ascii="Arial" w:hAnsi="Arial" w:cs="Arial"/>
          <w:sz w:val="21"/>
          <w:szCs w:val="21"/>
        </w:rPr>
        <w:t xml:space="preserve">, </w:t>
      </w:r>
      <w:r w:rsidR="00D46B2C" w:rsidRPr="00D46B2C">
        <w:rPr>
          <w:rFonts w:ascii="Arial" w:hAnsi="Arial" w:cs="Arial"/>
          <w:sz w:val="21"/>
          <w:szCs w:val="21"/>
        </w:rPr>
        <w:t xml:space="preserve">kamran.ghasedidizaji@mavs.uta.edu </w:t>
      </w:r>
      <w:r w:rsidR="006C6A22">
        <w:rPr>
          <w:rFonts w:ascii="Arial" w:eastAsia="Times New Roman" w:hAnsi="Arial" w:cs="Arial"/>
          <w:vanish/>
          <w:sz w:val="16"/>
          <w:szCs w:val="16"/>
          <w:lang w:eastAsia="en-US"/>
        </w:rPr>
        <w:t>Top of ForBot</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D46B2C">
        <w:rPr>
          <w:rFonts w:ascii="Arial" w:hAnsi="Arial" w:cs="Arial"/>
          <w:sz w:val="21"/>
          <w:szCs w:val="21"/>
        </w:rPr>
        <w:t>CSE 5321-002</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D46B2C">
        <w:rPr>
          <w:rFonts w:ascii="Arial" w:hAnsi="Arial" w:cs="Arial"/>
          <w:sz w:val="21"/>
          <w:szCs w:val="21"/>
        </w:rPr>
        <w:t>2</w:t>
      </w:r>
      <w:r w:rsidR="009755DB">
        <w:rPr>
          <w:rFonts w:ascii="Arial" w:hAnsi="Arial" w:cs="Arial"/>
          <w:sz w:val="21"/>
          <w:szCs w:val="21"/>
        </w:rPr>
        <w:t>-</w:t>
      </w:r>
      <w:r w:rsidR="00D46B2C">
        <w:rPr>
          <w:rFonts w:ascii="Arial" w:hAnsi="Arial" w:cs="Arial"/>
          <w:sz w:val="21"/>
          <w:szCs w:val="21"/>
        </w:rPr>
        <w:t>3:20</w:t>
      </w:r>
      <w:r w:rsidR="009755DB">
        <w:rPr>
          <w:rFonts w:ascii="Arial" w:hAnsi="Arial" w:cs="Arial"/>
          <w:sz w:val="21"/>
          <w:szCs w:val="21"/>
        </w:rPr>
        <w:t>pm</w:t>
      </w:r>
      <w:r w:rsidR="008C35A8">
        <w:rPr>
          <w:rFonts w:ascii="Arial" w:hAnsi="Arial" w:cs="Arial"/>
          <w:sz w:val="21"/>
          <w:szCs w:val="21"/>
        </w:rPr>
        <w:t xml:space="preserve">, </w:t>
      </w:r>
      <w:r w:rsidR="006C237E">
        <w:rPr>
          <w:rFonts w:ascii="Arial" w:hAnsi="Arial" w:cs="Arial"/>
          <w:sz w:val="21"/>
          <w:szCs w:val="21"/>
        </w:rPr>
        <w:t>NH 112</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B3C02">
        <w:rPr>
          <w:rFonts w:ascii="Arial" w:hAnsi="Arial" w:cs="Arial"/>
          <w:sz w:val="21"/>
          <w:szCs w:val="21"/>
        </w:rPr>
        <w:t>40</w:t>
      </w:r>
      <w:r w:rsidR="00C87CA4" w:rsidRPr="00ED448F">
        <w:rPr>
          <w:rFonts w:ascii="Arial" w:hAnsi="Arial" w:cs="Arial"/>
          <w:sz w:val="21"/>
          <w:szCs w:val="21"/>
        </w:rPr>
        <w:t xml:space="preserve">% homework, </w:t>
      </w:r>
      <w:r w:rsidR="00AB3C02">
        <w:rPr>
          <w:rFonts w:ascii="Arial" w:hAnsi="Arial" w:cs="Arial"/>
          <w:sz w:val="21"/>
          <w:szCs w:val="21"/>
        </w:rPr>
        <w:t>5</w:t>
      </w:r>
      <w:r w:rsidR="00F1306E">
        <w:rPr>
          <w:rFonts w:ascii="Arial" w:hAnsi="Arial" w:cs="Arial"/>
          <w:sz w:val="21"/>
          <w:szCs w:val="21"/>
        </w:rPr>
        <w:t xml:space="preserve">5%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8</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Five non-comprehensive quizzes (11% each).</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4166ED" w:rsidP="00A537CE">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lastRenderedPageBreak/>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w:t>
      </w:r>
      <w:r w:rsidR="00317429" w:rsidRPr="00317429">
        <w:rPr>
          <w:rFonts w:ascii="Arial" w:hAnsi="Arial" w:cs="Arial"/>
          <w:sz w:val="21"/>
          <w:szCs w:val="21"/>
        </w:rPr>
        <w:lastRenderedPageBreak/>
        <w:t>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ED10B3" w:rsidRDefault="00ED10B3">
      <w:pPr>
        <w:rPr>
          <w:rFonts w:ascii="Arial" w:hAnsi="Arial" w:cs="Arial"/>
          <w:b/>
          <w:color w:val="000000" w:themeColor="text1"/>
        </w:rPr>
      </w:pPr>
      <w:r>
        <w:rPr>
          <w:rFonts w:ascii="Arial" w:hAnsi="Arial" w:cs="Arial"/>
          <w:b/>
          <w:color w:val="000000" w:themeColor="text1"/>
        </w:rPr>
        <w:br w:type="page"/>
      </w:r>
    </w:p>
    <w:p w:rsidR="0089095E" w:rsidRDefault="0089095E" w:rsidP="0089095E">
      <w:pPr>
        <w:rPr>
          <w:rFonts w:ascii="Arial" w:hAnsi="Arial" w:cs="Arial"/>
          <w:b/>
          <w:color w:val="000000" w:themeColor="text1"/>
        </w:rPr>
      </w:pPr>
      <w:r w:rsidRPr="0089095E">
        <w:rPr>
          <w:rFonts w:ascii="Arial" w:hAnsi="Arial" w:cs="Arial"/>
          <w:b/>
          <w:color w:val="000000" w:themeColor="text1"/>
        </w:rPr>
        <w:lastRenderedPageBreak/>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AB7D68" w:rsidRDefault="00ED10B3">
      <w:pPr>
        <w:rPr>
          <w:rFonts w:ascii="Arial" w:hAnsi="Arial" w:cs="Arial"/>
          <w:color w:val="FF0000"/>
        </w:rPr>
      </w:pPr>
      <w:r w:rsidRPr="00ED10B3">
        <w:rPr>
          <w:noProof/>
          <w:lang w:eastAsia="en-US"/>
        </w:rPr>
        <w:drawing>
          <wp:inline distT="0" distB="0" distL="0" distR="0">
            <wp:extent cx="5267325" cy="6296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267325" cy="6296025"/>
                    </a:xfrm>
                    <a:prstGeom prst="rect">
                      <a:avLst/>
                    </a:prstGeom>
                    <a:noFill/>
                    <a:ln w="9525">
                      <a:noFill/>
                      <a:miter lim="800000"/>
                      <a:headEnd/>
                      <a:tailEnd/>
                    </a:ln>
                  </pic:spPr>
                </pic:pic>
              </a:graphicData>
            </a:graphic>
          </wp:inline>
        </w:drawing>
      </w:r>
      <w:r w:rsidR="00AB7D68">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29724F" w:rsidP="00986B08">
      <w:pPr>
        <w:keepNext/>
        <w:rPr>
          <w:rFonts w:ascii="Arial" w:hAnsi="Arial" w:cs="Arial"/>
          <w:color w:val="FF0000"/>
        </w:rPr>
      </w:pPr>
      <w:r w:rsidRPr="0029724F">
        <w:rPr>
          <w:noProof/>
          <w:lang w:eastAsia="en-US"/>
        </w:rPr>
        <w:drawing>
          <wp:inline distT="0" distB="0" distL="0" distR="0">
            <wp:extent cx="4838700" cy="401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38700" cy="40100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93AA4"/>
    <w:rsid w:val="0029724F"/>
    <w:rsid w:val="002A5E61"/>
    <w:rsid w:val="002E7289"/>
    <w:rsid w:val="002F021C"/>
    <w:rsid w:val="003019A0"/>
    <w:rsid w:val="00316254"/>
    <w:rsid w:val="00317429"/>
    <w:rsid w:val="00324A82"/>
    <w:rsid w:val="00330812"/>
    <w:rsid w:val="003435E7"/>
    <w:rsid w:val="00353093"/>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86C26"/>
    <w:rsid w:val="00591B9F"/>
    <w:rsid w:val="00593047"/>
    <w:rsid w:val="005A079A"/>
    <w:rsid w:val="005A2ED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C237E"/>
    <w:rsid w:val="006C6A22"/>
    <w:rsid w:val="006F18F1"/>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961B5"/>
    <w:rsid w:val="008A562C"/>
    <w:rsid w:val="008A67E9"/>
    <w:rsid w:val="008A6918"/>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4032E"/>
    <w:rsid w:val="009755DB"/>
    <w:rsid w:val="00982A7E"/>
    <w:rsid w:val="00985512"/>
    <w:rsid w:val="00986B08"/>
    <w:rsid w:val="009874C0"/>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5EB3"/>
    <w:rsid w:val="00CB7789"/>
    <w:rsid w:val="00CD0796"/>
    <w:rsid w:val="00CE1818"/>
    <w:rsid w:val="00CF1035"/>
    <w:rsid w:val="00D07E62"/>
    <w:rsid w:val="00D4640C"/>
    <w:rsid w:val="00D46B2C"/>
    <w:rsid w:val="00D60A19"/>
    <w:rsid w:val="00D665D2"/>
    <w:rsid w:val="00D77B00"/>
    <w:rsid w:val="00D82F1A"/>
    <w:rsid w:val="00D950B4"/>
    <w:rsid w:val="00DB1495"/>
    <w:rsid w:val="00DD5409"/>
    <w:rsid w:val="00DE06E6"/>
    <w:rsid w:val="00DE1EF6"/>
    <w:rsid w:val="00DF20A8"/>
    <w:rsid w:val="00E1550B"/>
    <w:rsid w:val="00E17243"/>
    <w:rsid w:val="00E17B77"/>
    <w:rsid w:val="00E17E2A"/>
    <w:rsid w:val="00E24B86"/>
    <w:rsid w:val="00E2600D"/>
    <w:rsid w:val="00E3568B"/>
    <w:rsid w:val="00E375E5"/>
    <w:rsid w:val="00E4432D"/>
    <w:rsid w:val="00E545F7"/>
    <w:rsid w:val="00E6106D"/>
    <w:rsid w:val="00E628DE"/>
    <w:rsid w:val="00E7615D"/>
    <w:rsid w:val="00E76DC9"/>
    <w:rsid w:val="00E85AFD"/>
    <w:rsid w:val="00ED10B3"/>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E2FF-DE0A-42FF-B217-78A306AF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14530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4</cp:revision>
  <cp:lastPrinted>2014-07-22T20:44:00Z</cp:lastPrinted>
  <dcterms:created xsi:type="dcterms:W3CDTF">2017-01-15T12:14:00Z</dcterms:created>
  <dcterms:modified xsi:type="dcterms:W3CDTF">2017-01-15T12:17:00Z</dcterms:modified>
</cp:coreProperties>
</file>