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228" w:rsidRPr="006D5C3B" w:rsidRDefault="005A7228" w:rsidP="005A722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Topics in Teaching Composition                                    </w:t>
      </w:r>
      <w:r w:rsidR="00C17D6D">
        <w:rPr>
          <w:rFonts w:ascii="Times New Roman" w:hAnsi="Times New Roman"/>
          <w:sz w:val="24"/>
          <w:szCs w:val="24"/>
        </w:rPr>
        <w:t>ENGL 5389; Fall 2017</w:t>
      </w:r>
      <w:bookmarkStart w:id="0" w:name="_GoBack"/>
      <w:bookmarkEnd w:id="0"/>
      <w:r w:rsidR="00920353">
        <w:rPr>
          <w:rFonts w:ascii="Times New Roman" w:hAnsi="Times New Roman"/>
          <w:sz w:val="24"/>
          <w:szCs w:val="24"/>
        </w:rPr>
        <w:t>Carlisle Hall 212                            Thur</w:t>
      </w:r>
      <w:r w:rsidR="007B358B">
        <w:rPr>
          <w:rFonts w:ascii="Times New Roman" w:hAnsi="Times New Roman"/>
          <w:sz w:val="24"/>
          <w:szCs w:val="24"/>
        </w:rPr>
        <w:t>sday 6:00 p.m</w:t>
      </w:r>
      <w:proofErr w:type="gramStart"/>
      <w:r w:rsidR="007B358B">
        <w:rPr>
          <w:rFonts w:ascii="Times New Roman" w:hAnsi="Times New Roman"/>
          <w:sz w:val="24"/>
          <w:szCs w:val="24"/>
        </w:rPr>
        <w:t>.-</w:t>
      </w:r>
      <w:proofErr w:type="gramEnd"/>
      <w:r w:rsidR="007B358B">
        <w:rPr>
          <w:rFonts w:ascii="Times New Roman" w:hAnsi="Times New Roman"/>
          <w:sz w:val="24"/>
          <w:szCs w:val="24"/>
        </w:rPr>
        <w:t xml:space="preserve"> 8</w:t>
      </w:r>
      <w:r>
        <w:rPr>
          <w:rFonts w:ascii="Times New Roman" w:hAnsi="Times New Roman"/>
          <w:sz w:val="24"/>
          <w:szCs w:val="24"/>
        </w:rPr>
        <w:t>:50 p.m.</w:t>
      </w:r>
    </w:p>
    <w:p w:rsidR="005A7228" w:rsidRDefault="005A7228" w:rsidP="005A722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Jim Warre</w:t>
      </w:r>
      <w:r w:rsidR="00920353">
        <w:rPr>
          <w:rFonts w:ascii="Times New Roman" w:hAnsi="Times New Roman"/>
          <w:sz w:val="24"/>
          <w:szCs w:val="24"/>
        </w:rPr>
        <w:t xml:space="preserve">n                    </w:t>
      </w:r>
      <w:r w:rsidR="00920353">
        <w:rPr>
          <w:rFonts w:ascii="Times New Roman" w:hAnsi="Times New Roman"/>
          <w:sz w:val="24"/>
          <w:szCs w:val="24"/>
        </w:rPr>
        <w:tab/>
      </w:r>
      <w:r w:rsidR="00920353">
        <w:rPr>
          <w:rFonts w:ascii="Times New Roman" w:hAnsi="Times New Roman"/>
          <w:sz w:val="24"/>
          <w:szCs w:val="24"/>
        </w:rPr>
        <w:tab/>
      </w:r>
      <w:r w:rsidR="00920353">
        <w:rPr>
          <w:rFonts w:ascii="Times New Roman" w:hAnsi="Times New Roman"/>
          <w:sz w:val="24"/>
          <w:szCs w:val="24"/>
        </w:rPr>
        <w:tab/>
      </w:r>
      <w:r w:rsidR="00920353">
        <w:rPr>
          <w:rFonts w:ascii="Times New Roman" w:hAnsi="Times New Roman"/>
          <w:sz w:val="24"/>
          <w:szCs w:val="24"/>
        </w:rPr>
        <w:tab/>
      </w:r>
      <w:r w:rsidR="00920353">
        <w:rPr>
          <w:rFonts w:ascii="Times New Roman" w:hAnsi="Times New Roman"/>
          <w:sz w:val="24"/>
          <w:szCs w:val="24"/>
        </w:rPr>
        <w:tab/>
      </w:r>
      <w:r w:rsidR="00920353">
        <w:rPr>
          <w:rFonts w:ascii="Times New Roman" w:hAnsi="Times New Roman"/>
          <w:sz w:val="24"/>
          <w:szCs w:val="24"/>
        </w:rPr>
        <w:tab/>
        <w:t>Justin Lerberg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Carlisle Hall 404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Carlisle Hall 203E                                                                                                               Office Hours:  TBA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Office Hours:  TBA                                                                                                                                                                                             </w:t>
      </w:r>
      <w:r w:rsidRPr="00374F3E">
        <w:rPr>
          <w:rFonts w:ascii="Times New Roman" w:hAnsi="Times New Roman"/>
          <w:sz w:val="24"/>
          <w:szCs w:val="24"/>
        </w:rPr>
        <w:t>jewarren@uta.edu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DF7F14">
        <w:rPr>
          <w:rFonts w:ascii="Times New Roman" w:hAnsi="Times New Roman"/>
          <w:sz w:val="24"/>
          <w:szCs w:val="24"/>
        </w:rPr>
        <w:t>jlerberg</w:t>
      </w:r>
      <w:r w:rsidRPr="00283C6F">
        <w:rPr>
          <w:rFonts w:ascii="Times New Roman" w:hAnsi="Times New Roman"/>
          <w:sz w:val="24"/>
          <w:szCs w:val="24"/>
        </w:rPr>
        <w:t>@uta.edu</w:t>
      </w:r>
    </w:p>
    <w:p w:rsidR="005A7228" w:rsidRDefault="005A7228" w:rsidP="005A722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817.368.8628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817.272.2488</w:t>
      </w:r>
    </w:p>
    <w:p w:rsidR="005A7228" w:rsidRDefault="005A7228" w:rsidP="005A72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7228" w:rsidRDefault="005A7228" w:rsidP="005A7228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Course Description</w:t>
      </w:r>
    </w:p>
    <w:p w:rsidR="00920353" w:rsidRDefault="008D3328" w:rsidP="00920353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main </w:t>
      </w:r>
      <w:r w:rsidR="00920353">
        <w:rPr>
          <w:rFonts w:ascii="Times New Roman" w:hAnsi="Times New Roman"/>
          <w:sz w:val="24"/>
          <w:szCs w:val="24"/>
        </w:rPr>
        <w:t>objective of this course is to familiarize students with the history, theory, and research that constitute composition studies. As the semester progresses, students learn contemporary “best prac</w:t>
      </w:r>
      <w:r w:rsidR="00E02E58">
        <w:rPr>
          <w:rFonts w:ascii="Times New Roman" w:hAnsi="Times New Roman"/>
          <w:sz w:val="24"/>
          <w:szCs w:val="24"/>
        </w:rPr>
        <w:t>tices” for composition teaching.</w:t>
      </w:r>
      <w:r>
        <w:rPr>
          <w:rFonts w:ascii="Times New Roman" w:hAnsi="Times New Roman"/>
          <w:sz w:val="24"/>
          <w:szCs w:val="24"/>
        </w:rPr>
        <w:t>T</w:t>
      </w:r>
      <w:r w:rsidR="00920353">
        <w:rPr>
          <w:rFonts w:ascii="Times New Roman" w:hAnsi="Times New Roman"/>
          <w:sz w:val="24"/>
          <w:szCs w:val="24"/>
        </w:rPr>
        <w:t xml:space="preserve">his course should help students develop a philosophy of composition teaching and prepare them to teach first-year composition at a wide variety of institutions.  </w:t>
      </w:r>
    </w:p>
    <w:p w:rsidR="005A7228" w:rsidRDefault="005A7228" w:rsidP="005A7228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Required Texts:</w:t>
      </w:r>
    </w:p>
    <w:p w:rsidR="005A7228" w:rsidRPr="008D3328" w:rsidRDefault="008D3328" w:rsidP="005A722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Available in Blackboard</w:t>
      </w:r>
    </w:p>
    <w:p w:rsidR="005A7228" w:rsidRPr="009C58C4" w:rsidRDefault="005A7228" w:rsidP="005A7228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Assignments</w:t>
      </w:r>
    </w:p>
    <w:p w:rsidR="005A7228" w:rsidRPr="009362A9" w:rsidRDefault="005A7228" w:rsidP="005A7228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Class participation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20%</w:t>
      </w:r>
    </w:p>
    <w:p w:rsidR="005A7228" w:rsidRPr="002717D1" w:rsidRDefault="00E02E58" w:rsidP="005A7228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Annotated bibliography</w:t>
      </w:r>
      <w:r w:rsidR="005A7228">
        <w:rPr>
          <w:rFonts w:ascii="Times New Roman" w:hAnsi="Times New Roman"/>
          <w:sz w:val="24"/>
          <w:szCs w:val="24"/>
        </w:rPr>
        <w:tab/>
      </w:r>
      <w:r w:rsidR="005A7228">
        <w:rPr>
          <w:rFonts w:ascii="Times New Roman" w:hAnsi="Times New Roman"/>
          <w:sz w:val="24"/>
          <w:szCs w:val="24"/>
        </w:rPr>
        <w:tab/>
      </w:r>
      <w:r w:rsidR="005A7228">
        <w:rPr>
          <w:rFonts w:ascii="Times New Roman" w:hAnsi="Times New Roman"/>
          <w:sz w:val="24"/>
          <w:szCs w:val="24"/>
        </w:rPr>
        <w:tab/>
      </w:r>
      <w:r w:rsidR="005A7228">
        <w:rPr>
          <w:rFonts w:ascii="Times New Roman" w:hAnsi="Times New Roman"/>
          <w:sz w:val="24"/>
          <w:szCs w:val="24"/>
        </w:rPr>
        <w:tab/>
      </w:r>
      <w:r w:rsidR="005A7228">
        <w:rPr>
          <w:rFonts w:ascii="Times New Roman" w:hAnsi="Times New Roman"/>
          <w:sz w:val="24"/>
          <w:szCs w:val="24"/>
        </w:rPr>
        <w:tab/>
      </w:r>
      <w:r w:rsidR="005A7228">
        <w:rPr>
          <w:rFonts w:ascii="Times New Roman" w:hAnsi="Times New Roman"/>
          <w:sz w:val="24"/>
          <w:szCs w:val="24"/>
        </w:rPr>
        <w:tab/>
      </w:r>
      <w:r w:rsidR="005A7228">
        <w:rPr>
          <w:rFonts w:ascii="Times New Roman" w:hAnsi="Times New Roman"/>
          <w:sz w:val="24"/>
          <w:szCs w:val="24"/>
        </w:rPr>
        <w:tab/>
      </w:r>
      <w:r w:rsidR="008D3328">
        <w:rPr>
          <w:rFonts w:ascii="Times New Roman" w:hAnsi="Times New Roman"/>
          <w:b/>
          <w:sz w:val="24"/>
          <w:szCs w:val="24"/>
        </w:rPr>
        <w:t>8</w:t>
      </w:r>
      <w:r w:rsidR="005A7228">
        <w:rPr>
          <w:rFonts w:ascii="Times New Roman" w:hAnsi="Times New Roman"/>
          <w:b/>
          <w:sz w:val="24"/>
          <w:szCs w:val="24"/>
        </w:rPr>
        <w:t>0%</w:t>
      </w:r>
    </w:p>
    <w:p w:rsidR="005A7228" w:rsidRDefault="005A7228" w:rsidP="005A722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Policies</w:t>
      </w:r>
    </w:p>
    <w:p w:rsidR="00920353" w:rsidRDefault="00920353" w:rsidP="005A722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A7228" w:rsidRDefault="005A7228" w:rsidP="00920353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 one should miss a graduate seminar for any reason other than a dire emergency, so we expect you to record perfect attendance. </w:t>
      </w:r>
    </w:p>
    <w:p w:rsidR="005A7228" w:rsidRPr="00920353" w:rsidRDefault="005A7228" w:rsidP="00920353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20353">
        <w:rPr>
          <w:rFonts w:ascii="Times New Roman" w:hAnsi="Times New Roman"/>
          <w:sz w:val="24"/>
          <w:szCs w:val="24"/>
        </w:rPr>
        <w:t>Arriving to class late is disruptive and disrespectful to us and your classmates. We expe</w:t>
      </w:r>
      <w:r w:rsidR="007B358B">
        <w:rPr>
          <w:rFonts w:ascii="Times New Roman" w:hAnsi="Times New Roman"/>
          <w:sz w:val="24"/>
          <w:szCs w:val="24"/>
        </w:rPr>
        <w:t>ct you to be ready to begin at 6</w:t>
      </w:r>
      <w:r w:rsidRPr="00920353">
        <w:rPr>
          <w:rFonts w:ascii="Times New Roman" w:hAnsi="Times New Roman"/>
          <w:sz w:val="24"/>
          <w:szCs w:val="24"/>
        </w:rPr>
        <w:t>:00 sharp.</w:t>
      </w:r>
    </w:p>
    <w:p w:rsidR="005A7228" w:rsidRPr="00920353" w:rsidRDefault="007B358B" w:rsidP="00920353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We will break from 7:20-7</w:t>
      </w:r>
      <w:r w:rsidR="005A7228" w:rsidRPr="00920353">
        <w:rPr>
          <w:rFonts w:ascii="Times New Roman" w:hAnsi="Times New Roman"/>
          <w:sz w:val="24"/>
          <w:szCs w:val="24"/>
        </w:rPr>
        <w:t>:30. It’s frustrating to wait for students to trickle back in from break, so we expec</w:t>
      </w:r>
      <w:r>
        <w:rPr>
          <w:rFonts w:ascii="Times New Roman" w:hAnsi="Times New Roman"/>
          <w:sz w:val="24"/>
          <w:szCs w:val="24"/>
        </w:rPr>
        <w:t>t you to be ready to resume at 7</w:t>
      </w:r>
      <w:r w:rsidR="005A7228" w:rsidRPr="00920353">
        <w:rPr>
          <w:rFonts w:ascii="Times New Roman" w:hAnsi="Times New Roman"/>
          <w:sz w:val="24"/>
          <w:szCs w:val="24"/>
        </w:rPr>
        <w:t xml:space="preserve">:30 sharp. </w:t>
      </w:r>
    </w:p>
    <w:p w:rsidR="006D5C3B" w:rsidRDefault="005A7228" w:rsidP="006D5C3B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20353">
        <w:rPr>
          <w:rFonts w:ascii="Times New Roman" w:hAnsi="Times New Roman"/>
          <w:sz w:val="24"/>
          <w:szCs w:val="24"/>
        </w:rPr>
        <w:t>Cell phones should be turned off and put away for the entirety of class. The use of any portable device other than a laptop is strictly prohibited.</w:t>
      </w:r>
    </w:p>
    <w:p w:rsidR="007500FF" w:rsidRDefault="007500FF" w:rsidP="007500F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00FF" w:rsidRDefault="007500FF" w:rsidP="007500F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00FF" w:rsidRDefault="007500FF" w:rsidP="007500F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00FF" w:rsidRDefault="007500FF" w:rsidP="007500F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00FF" w:rsidRDefault="007500FF" w:rsidP="007500F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00FF" w:rsidRDefault="007500FF" w:rsidP="007500F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00FF" w:rsidRDefault="007500FF" w:rsidP="007500F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00FF" w:rsidRDefault="007500FF" w:rsidP="007500F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00FF" w:rsidRDefault="007500FF" w:rsidP="007500F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00FF" w:rsidRDefault="007500FF" w:rsidP="007500F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00FF" w:rsidRDefault="007500FF" w:rsidP="007500F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00FF" w:rsidRDefault="007500FF" w:rsidP="007500F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00FF" w:rsidRDefault="007500FF" w:rsidP="007500F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00FF" w:rsidRPr="007500FF" w:rsidRDefault="007500FF" w:rsidP="007500F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10638" w:type="dxa"/>
        <w:tblLayout w:type="fixed"/>
        <w:tblLook w:val="04A0"/>
      </w:tblPr>
      <w:tblGrid>
        <w:gridCol w:w="828"/>
        <w:gridCol w:w="2970"/>
        <w:gridCol w:w="6840"/>
      </w:tblGrid>
      <w:tr w:rsidR="007500FF" w:rsidRPr="000548B9" w:rsidTr="005713DB">
        <w:tc>
          <w:tcPr>
            <w:tcW w:w="828" w:type="dxa"/>
          </w:tcPr>
          <w:p w:rsidR="007500FF" w:rsidRPr="00C05C68" w:rsidRDefault="007500FF" w:rsidP="005713DB">
            <w:pPr>
              <w:rPr>
                <w:b/>
                <w:sz w:val="24"/>
                <w:szCs w:val="24"/>
              </w:rPr>
            </w:pPr>
            <w:r w:rsidRPr="00C05C68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2970" w:type="dxa"/>
          </w:tcPr>
          <w:p w:rsidR="007500FF" w:rsidRPr="003959A2" w:rsidRDefault="007500FF" w:rsidP="005713DB">
            <w:pPr>
              <w:rPr>
                <w:b/>
                <w:sz w:val="24"/>
                <w:szCs w:val="24"/>
              </w:rPr>
            </w:pPr>
            <w:r w:rsidRPr="003959A2">
              <w:rPr>
                <w:b/>
                <w:sz w:val="24"/>
                <w:szCs w:val="24"/>
              </w:rPr>
              <w:t xml:space="preserve"> Topic</w:t>
            </w:r>
          </w:p>
        </w:tc>
        <w:tc>
          <w:tcPr>
            <w:tcW w:w="6840" w:type="dxa"/>
          </w:tcPr>
          <w:p w:rsidR="007500FF" w:rsidRPr="003959A2" w:rsidRDefault="007500FF" w:rsidP="005713DB">
            <w:pPr>
              <w:rPr>
                <w:b/>
                <w:sz w:val="24"/>
                <w:szCs w:val="24"/>
              </w:rPr>
            </w:pPr>
            <w:r w:rsidRPr="003959A2">
              <w:rPr>
                <w:b/>
                <w:sz w:val="24"/>
                <w:szCs w:val="24"/>
              </w:rPr>
              <w:t>Readings</w:t>
            </w:r>
          </w:p>
        </w:tc>
      </w:tr>
      <w:tr w:rsidR="007500FF" w:rsidRPr="000548B9" w:rsidTr="005713DB">
        <w:tc>
          <w:tcPr>
            <w:tcW w:w="828" w:type="dxa"/>
          </w:tcPr>
          <w:p w:rsidR="007500FF" w:rsidRPr="00C05C68" w:rsidRDefault="007500FF" w:rsidP="005713DB">
            <w:pPr>
              <w:rPr>
                <w:sz w:val="24"/>
                <w:szCs w:val="24"/>
              </w:rPr>
            </w:pPr>
            <w:r w:rsidRPr="00C05C68">
              <w:rPr>
                <w:sz w:val="24"/>
                <w:szCs w:val="24"/>
              </w:rPr>
              <w:t>8/24</w:t>
            </w:r>
          </w:p>
        </w:tc>
        <w:tc>
          <w:tcPr>
            <w:tcW w:w="2970" w:type="dxa"/>
          </w:tcPr>
          <w:p w:rsidR="007500FF" w:rsidRPr="003959A2" w:rsidRDefault="007500FF" w:rsidP="005713DB">
            <w:pPr>
              <w:rPr>
                <w:sz w:val="24"/>
                <w:szCs w:val="24"/>
              </w:rPr>
            </w:pPr>
            <w:r w:rsidRPr="003959A2">
              <w:rPr>
                <w:sz w:val="24"/>
                <w:szCs w:val="24"/>
              </w:rPr>
              <w:t>History of Composition</w:t>
            </w:r>
          </w:p>
        </w:tc>
        <w:tc>
          <w:tcPr>
            <w:tcW w:w="6840" w:type="dxa"/>
          </w:tcPr>
          <w:p w:rsidR="007500FF" w:rsidRPr="003959A2" w:rsidRDefault="007500FF" w:rsidP="007500FF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proofErr w:type="spellStart"/>
            <w:r w:rsidRPr="003959A2">
              <w:rPr>
                <w:sz w:val="24"/>
                <w:szCs w:val="24"/>
              </w:rPr>
              <w:t>Nystrand</w:t>
            </w:r>
            <w:proofErr w:type="spellEnd"/>
            <w:r w:rsidRPr="003959A2">
              <w:rPr>
                <w:sz w:val="24"/>
                <w:szCs w:val="24"/>
              </w:rPr>
              <w:t xml:space="preserve">, Greene, </w:t>
            </w:r>
            <w:proofErr w:type="spellStart"/>
            <w:r w:rsidRPr="003959A2">
              <w:rPr>
                <w:sz w:val="24"/>
                <w:szCs w:val="24"/>
              </w:rPr>
              <w:t>Wiemelt</w:t>
            </w:r>
            <w:proofErr w:type="spellEnd"/>
            <w:r w:rsidRPr="003959A2">
              <w:rPr>
                <w:sz w:val="24"/>
                <w:szCs w:val="24"/>
              </w:rPr>
              <w:t>, “Where Did Composition Studies Come From?”</w:t>
            </w:r>
          </w:p>
        </w:tc>
      </w:tr>
      <w:tr w:rsidR="007500FF" w:rsidRPr="000548B9" w:rsidTr="005713DB">
        <w:tc>
          <w:tcPr>
            <w:tcW w:w="828" w:type="dxa"/>
          </w:tcPr>
          <w:p w:rsidR="007500FF" w:rsidRPr="00C05C68" w:rsidRDefault="007500FF" w:rsidP="005713DB">
            <w:pPr>
              <w:jc w:val="center"/>
              <w:rPr>
                <w:sz w:val="24"/>
                <w:szCs w:val="24"/>
              </w:rPr>
            </w:pPr>
            <w:r w:rsidRPr="00C05C68">
              <w:rPr>
                <w:sz w:val="24"/>
                <w:szCs w:val="24"/>
              </w:rPr>
              <w:lastRenderedPageBreak/>
              <w:t>8/31</w:t>
            </w:r>
          </w:p>
        </w:tc>
        <w:tc>
          <w:tcPr>
            <w:tcW w:w="2970" w:type="dxa"/>
          </w:tcPr>
          <w:p w:rsidR="007500FF" w:rsidRPr="003959A2" w:rsidRDefault="007500FF" w:rsidP="005713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Writing Assignments</w:t>
            </w:r>
          </w:p>
        </w:tc>
        <w:tc>
          <w:tcPr>
            <w:tcW w:w="6840" w:type="dxa"/>
          </w:tcPr>
          <w:p w:rsidR="007500FF" w:rsidRDefault="007500FF" w:rsidP="007500FF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C05C68">
              <w:rPr>
                <w:sz w:val="24"/>
                <w:szCs w:val="24"/>
              </w:rPr>
              <w:t>Nelson, “This Was an Easy Assignment”</w:t>
            </w:r>
          </w:p>
          <w:p w:rsidR="007500FF" w:rsidRPr="00C05C68" w:rsidRDefault="007500FF" w:rsidP="007500FF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C05C68">
              <w:rPr>
                <w:sz w:val="24"/>
                <w:szCs w:val="24"/>
              </w:rPr>
              <w:t>Clark, “A Genre Approach to Writing Assignments”</w:t>
            </w:r>
          </w:p>
        </w:tc>
      </w:tr>
      <w:tr w:rsidR="007500FF" w:rsidRPr="000548B9" w:rsidTr="005713DB">
        <w:tc>
          <w:tcPr>
            <w:tcW w:w="828" w:type="dxa"/>
          </w:tcPr>
          <w:p w:rsidR="007500FF" w:rsidRPr="00C05C68" w:rsidRDefault="007500FF" w:rsidP="005713DB">
            <w:pPr>
              <w:jc w:val="center"/>
              <w:rPr>
                <w:sz w:val="24"/>
                <w:szCs w:val="24"/>
              </w:rPr>
            </w:pPr>
            <w:r w:rsidRPr="00C05C68">
              <w:rPr>
                <w:sz w:val="24"/>
                <w:szCs w:val="24"/>
              </w:rPr>
              <w:t>9/7</w:t>
            </w:r>
          </w:p>
        </w:tc>
        <w:tc>
          <w:tcPr>
            <w:tcW w:w="2970" w:type="dxa"/>
          </w:tcPr>
          <w:p w:rsidR="007500FF" w:rsidRPr="003959A2" w:rsidRDefault="007500FF" w:rsidP="005713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Instructor Review</w:t>
            </w:r>
          </w:p>
        </w:tc>
        <w:tc>
          <w:tcPr>
            <w:tcW w:w="6840" w:type="dxa"/>
          </w:tcPr>
          <w:p w:rsidR="007500FF" w:rsidRPr="00C05C68" w:rsidRDefault="007500FF" w:rsidP="007500FF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proofErr w:type="spellStart"/>
            <w:r w:rsidRPr="00C05C68">
              <w:rPr>
                <w:sz w:val="24"/>
                <w:szCs w:val="24"/>
              </w:rPr>
              <w:t>Sommers</w:t>
            </w:r>
            <w:proofErr w:type="spellEnd"/>
            <w:r w:rsidRPr="00C05C68">
              <w:rPr>
                <w:sz w:val="24"/>
                <w:szCs w:val="24"/>
              </w:rPr>
              <w:t>, “Responding to Student Writing”</w:t>
            </w:r>
          </w:p>
          <w:p w:rsidR="007500FF" w:rsidRPr="00C05C68" w:rsidRDefault="007500FF" w:rsidP="007500FF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C05C68">
              <w:rPr>
                <w:sz w:val="24"/>
                <w:szCs w:val="24"/>
              </w:rPr>
              <w:t>Brannon and Knoblauch, “On Students’ Rights to Their Own Texts”</w:t>
            </w:r>
          </w:p>
          <w:p w:rsidR="007500FF" w:rsidRPr="00C05C68" w:rsidRDefault="007500FF" w:rsidP="007500FF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proofErr w:type="spellStart"/>
            <w:r w:rsidRPr="00C05C68">
              <w:rPr>
                <w:sz w:val="24"/>
                <w:szCs w:val="24"/>
              </w:rPr>
              <w:t>Sperling</w:t>
            </w:r>
            <w:proofErr w:type="spellEnd"/>
            <w:r w:rsidRPr="00C05C68">
              <w:rPr>
                <w:sz w:val="24"/>
                <w:szCs w:val="24"/>
              </w:rPr>
              <w:t xml:space="preserve"> and Freedman, “A Good Girl Writes like a Good Girl”</w:t>
            </w:r>
          </w:p>
        </w:tc>
      </w:tr>
      <w:tr w:rsidR="007500FF" w:rsidRPr="000548B9" w:rsidTr="005713DB">
        <w:tc>
          <w:tcPr>
            <w:tcW w:w="828" w:type="dxa"/>
          </w:tcPr>
          <w:p w:rsidR="007500FF" w:rsidRPr="00C05C68" w:rsidRDefault="007500FF" w:rsidP="005713DB">
            <w:pPr>
              <w:jc w:val="center"/>
              <w:rPr>
                <w:sz w:val="24"/>
                <w:szCs w:val="24"/>
              </w:rPr>
            </w:pPr>
            <w:r w:rsidRPr="00C05C68">
              <w:rPr>
                <w:sz w:val="24"/>
                <w:szCs w:val="24"/>
              </w:rPr>
              <w:t>9/14</w:t>
            </w:r>
          </w:p>
        </w:tc>
        <w:tc>
          <w:tcPr>
            <w:tcW w:w="2970" w:type="dxa"/>
          </w:tcPr>
          <w:p w:rsidR="007500FF" w:rsidRPr="003959A2" w:rsidRDefault="007500FF" w:rsidP="005713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Instructor Review</w:t>
            </w:r>
          </w:p>
        </w:tc>
        <w:tc>
          <w:tcPr>
            <w:tcW w:w="6840" w:type="dxa"/>
          </w:tcPr>
          <w:p w:rsidR="007500FF" w:rsidRDefault="007500FF" w:rsidP="007500FF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proofErr w:type="spellStart"/>
            <w:r w:rsidRPr="00C05C68">
              <w:rPr>
                <w:sz w:val="24"/>
                <w:szCs w:val="24"/>
              </w:rPr>
              <w:t>Sommers</w:t>
            </w:r>
            <w:proofErr w:type="spellEnd"/>
            <w:r w:rsidRPr="00C05C68">
              <w:rPr>
                <w:sz w:val="24"/>
                <w:szCs w:val="24"/>
              </w:rPr>
              <w:t>, “Across the Drafts”</w:t>
            </w:r>
          </w:p>
          <w:p w:rsidR="007500FF" w:rsidRPr="00C05C68" w:rsidRDefault="007500FF" w:rsidP="007500FF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C05C68">
              <w:rPr>
                <w:sz w:val="24"/>
                <w:szCs w:val="24"/>
              </w:rPr>
              <w:t>Fife and O’Neill, “Moving beyond the Written Comment”</w:t>
            </w:r>
          </w:p>
          <w:p w:rsidR="007500FF" w:rsidRPr="00C05C68" w:rsidRDefault="007500FF" w:rsidP="007500FF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C05C68">
              <w:rPr>
                <w:sz w:val="24"/>
                <w:szCs w:val="24"/>
              </w:rPr>
              <w:t>Read Ferris, “Responding to Student Writing”</w:t>
            </w:r>
          </w:p>
        </w:tc>
      </w:tr>
      <w:tr w:rsidR="007500FF" w:rsidRPr="000548B9" w:rsidTr="005713DB">
        <w:tc>
          <w:tcPr>
            <w:tcW w:w="828" w:type="dxa"/>
          </w:tcPr>
          <w:p w:rsidR="007500FF" w:rsidRPr="00C05C68" w:rsidRDefault="007500FF" w:rsidP="005713DB">
            <w:pPr>
              <w:jc w:val="center"/>
              <w:rPr>
                <w:sz w:val="24"/>
                <w:szCs w:val="24"/>
              </w:rPr>
            </w:pPr>
            <w:r w:rsidRPr="00C05C68">
              <w:rPr>
                <w:sz w:val="24"/>
                <w:szCs w:val="24"/>
              </w:rPr>
              <w:t>9/21</w:t>
            </w:r>
          </w:p>
        </w:tc>
        <w:tc>
          <w:tcPr>
            <w:tcW w:w="2970" w:type="dxa"/>
          </w:tcPr>
          <w:p w:rsidR="007500FF" w:rsidRPr="003959A2" w:rsidRDefault="007500FF" w:rsidP="005713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Peer Review</w:t>
            </w:r>
          </w:p>
        </w:tc>
        <w:tc>
          <w:tcPr>
            <w:tcW w:w="6840" w:type="dxa"/>
          </w:tcPr>
          <w:p w:rsidR="007500FF" w:rsidRPr="00C05C68" w:rsidRDefault="007500FF" w:rsidP="007500FF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C05C68">
              <w:rPr>
                <w:sz w:val="24"/>
                <w:szCs w:val="24"/>
              </w:rPr>
              <w:t xml:space="preserve">Cho, </w:t>
            </w:r>
            <w:proofErr w:type="spellStart"/>
            <w:r w:rsidRPr="00C05C68">
              <w:rPr>
                <w:sz w:val="24"/>
                <w:szCs w:val="24"/>
              </w:rPr>
              <w:t>Schunn</w:t>
            </w:r>
            <w:proofErr w:type="spellEnd"/>
            <w:r w:rsidRPr="00C05C68">
              <w:rPr>
                <w:sz w:val="24"/>
                <w:szCs w:val="24"/>
              </w:rPr>
              <w:t xml:space="preserve">, and </w:t>
            </w:r>
            <w:proofErr w:type="spellStart"/>
            <w:r w:rsidRPr="00C05C68">
              <w:rPr>
                <w:sz w:val="24"/>
                <w:szCs w:val="24"/>
              </w:rPr>
              <w:t>Charney</w:t>
            </w:r>
            <w:proofErr w:type="spellEnd"/>
            <w:r w:rsidRPr="00C05C68">
              <w:rPr>
                <w:sz w:val="24"/>
                <w:szCs w:val="24"/>
              </w:rPr>
              <w:t>, “Commenting on Writing”</w:t>
            </w:r>
          </w:p>
          <w:p w:rsidR="007500FF" w:rsidRPr="00C05C68" w:rsidRDefault="007500FF" w:rsidP="007500FF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C05C68">
              <w:rPr>
                <w:sz w:val="24"/>
                <w:szCs w:val="24"/>
              </w:rPr>
              <w:t xml:space="preserve">Nelson and </w:t>
            </w:r>
            <w:proofErr w:type="spellStart"/>
            <w:r w:rsidRPr="00C05C68">
              <w:rPr>
                <w:sz w:val="24"/>
                <w:szCs w:val="24"/>
              </w:rPr>
              <w:t>Schunn</w:t>
            </w:r>
            <w:proofErr w:type="spellEnd"/>
            <w:r w:rsidRPr="00C05C68">
              <w:rPr>
                <w:sz w:val="24"/>
                <w:szCs w:val="24"/>
              </w:rPr>
              <w:t>, “The Nature of Feedback”</w:t>
            </w:r>
          </w:p>
          <w:p w:rsidR="007500FF" w:rsidRPr="00C05C68" w:rsidRDefault="007500FF" w:rsidP="007500FF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C05C68">
              <w:rPr>
                <w:sz w:val="24"/>
                <w:szCs w:val="24"/>
              </w:rPr>
              <w:t>Cho and Cho, “Peer Reviewers Learn from Giving Comments”</w:t>
            </w:r>
          </w:p>
        </w:tc>
      </w:tr>
      <w:tr w:rsidR="007500FF" w:rsidRPr="000548B9" w:rsidTr="005713DB">
        <w:tc>
          <w:tcPr>
            <w:tcW w:w="828" w:type="dxa"/>
          </w:tcPr>
          <w:p w:rsidR="007500FF" w:rsidRPr="00C05C68" w:rsidRDefault="007500FF" w:rsidP="005713DB">
            <w:pPr>
              <w:jc w:val="center"/>
              <w:rPr>
                <w:sz w:val="24"/>
                <w:szCs w:val="24"/>
              </w:rPr>
            </w:pPr>
            <w:r w:rsidRPr="00C05C68">
              <w:rPr>
                <w:sz w:val="24"/>
                <w:szCs w:val="24"/>
              </w:rPr>
              <w:t>9/28</w:t>
            </w:r>
          </w:p>
        </w:tc>
        <w:tc>
          <w:tcPr>
            <w:tcW w:w="2970" w:type="dxa"/>
          </w:tcPr>
          <w:p w:rsidR="007500FF" w:rsidRPr="003959A2" w:rsidRDefault="007500FF" w:rsidP="005713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Revision</w:t>
            </w:r>
          </w:p>
        </w:tc>
        <w:tc>
          <w:tcPr>
            <w:tcW w:w="6840" w:type="dxa"/>
          </w:tcPr>
          <w:p w:rsidR="007500FF" w:rsidRPr="00C05C68" w:rsidRDefault="007500FF" w:rsidP="007500FF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proofErr w:type="spellStart"/>
            <w:r w:rsidRPr="00C05C68">
              <w:rPr>
                <w:sz w:val="24"/>
                <w:szCs w:val="24"/>
              </w:rPr>
              <w:t>Sommers</w:t>
            </w:r>
            <w:proofErr w:type="spellEnd"/>
            <w:r w:rsidRPr="00C05C68">
              <w:rPr>
                <w:sz w:val="24"/>
                <w:szCs w:val="24"/>
              </w:rPr>
              <w:t>, “Revision Strategies of Student Writers and Experienced Adult Writers”</w:t>
            </w:r>
          </w:p>
          <w:p w:rsidR="007500FF" w:rsidRPr="00C05C68" w:rsidRDefault="007500FF" w:rsidP="007500FF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C05C68">
              <w:rPr>
                <w:sz w:val="24"/>
                <w:szCs w:val="24"/>
              </w:rPr>
              <w:t>Wallace and Hayes, “Redefining Revision for Freshmen”</w:t>
            </w:r>
          </w:p>
          <w:p w:rsidR="007500FF" w:rsidRPr="00C05C68" w:rsidRDefault="007500FF" w:rsidP="007500FF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C05C68">
              <w:rPr>
                <w:sz w:val="24"/>
                <w:szCs w:val="24"/>
              </w:rPr>
              <w:t>Butler and Britt, “Investigating Instruction for Improving Revision of Argumentative Essays”</w:t>
            </w:r>
          </w:p>
        </w:tc>
      </w:tr>
      <w:tr w:rsidR="007500FF" w:rsidRPr="000548B9" w:rsidTr="005713DB">
        <w:tc>
          <w:tcPr>
            <w:tcW w:w="828" w:type="dxa"/>
          </w:tcPr>
          <w:p w:rsidR="007500FF" w:rsidRPr="00C05C68" w:rsidRDefault="007500FF" w:rsidP="005713DB">
            <w:pPr>
              <w:jc w:val="center"/>
              <w:rPr>
                <w:sz w:val="24"/>
                <w:szCs w:val="24"/>
              </w:rPr>
            </w:pPr>
            <w:r w:rsidRPr="00C05C68">
              <w:rPr>
                <w:sz w:val="24"/>
                <w:szCs w:val="24"/>
              </w:rPr>
              <w:t>10/5</w:t>
            </w:r>
          </w:p>
        </w:tc>
        <w:tc>
          <w:tcPr>
            <w:tcW w:w="2970" w:type="dxa"/>
          </w:tcPr>
          <w:p w:rsidR="007500FF" w:rsidRPr="003959A2" w:rsidRDefault="007500FF" w:rsidP="005713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Grading</w:t>
            </w:r>
          </w:p>
        </w:tc>
        <w:tc>
          <w:tcPr>
            <w:tcW w:w="6840" w:type="dxa"/>
          </w:tcPr>
          <w:p w:rsidR="007500FF" w:rsidRPr="00C05C68" w:rsidRDefault="007500FF" w:rsidP="007500FF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C05C68">
              <w:rPr>
                <w:sz w:val="24"/>
                <w:szCs w:val="24"/>
              </w:rPr>
              <w:t>Bernard-</w:t>
            </w:r>
            <w:proofErr w:type="spellStart"/>
            <w:r w:rsidRPr="00C05C68">
              <w:rPr>
                <w:sz w:val="24"/>
                <w:szCs w:val="24"/>
              </w:rPr>
              <w:t>Donals</w:t>
            </w:r>
            <w:proofErr w:type="spellEnd"/>
            <w:r w:rsidRPr="00C05C68">
              <w:rPr>
                <w:sz w:val="24"/>
                <w:szCs w:val="24"/>
              </w:rPr>
              <w:t>, “Peter Elbow and the Cynical Subject”</w:t>
            </w:r>
          </w:p>
          <w:p w:rsidR="007500FF" w:rsidRPr="00C05C68" w:rsidRDefault="007500FF" w:rsidP="007500FF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C05C68">
              <w:rPr>
                <w:sz w:val="24"/>
                <w:szCs w:val="24"/>
              </w:rPr>
              <w:t>Elbow, “Changing Grades While Working with Grades”</w:t>
            </w:r>
          </w:p>
          <w:p w:rsidR="007500FF" w:rsidRPr="00C05C68" w:rsidRDefault="007500FF" w:rsidP="007500FF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proofErr w:type="spellStart"/>
            <w:r w:rsidRPr="00C05C68">
              <w:rPr>
                <w:sz w:val="24"/>
                <w:szCs w:val="24"/>
              </w:rPr>
              <w:t>Huot</w:t>
            </w:r>
            <w:proofErr w:type="spellEnd"/>
            <w:r w:rsidRPr="00C05C68">
              <w:rPr>
                <w:sz w:val="24"/>
                <w:szCs w:val="24"/>
              </w:rPr>
              <w:t>, “Toward a New Discourse of Assessment for the College Writing Classroom”</w:t>
            </w:r>
          </w:p>
        </w:tc>
      </w:tr>
      <w:tr w:rsidR="007500FF" w:rsidRPr="000548B9" w:rsidTr="005713DB">
        <w:tc>
          <w:tcPr>
            <w:tcW w:w="828" w:type="dxa"/>
          </w:tcPr>
          <w:p w:rsidR="007500FF" w:rsidRPr="00C05C68" w:rsidRDefault="007500FF" w:rsidP="005713DB">
            <w:pPr>
              <w:jc w:val="center"/>
              <w:rPr>
                <w:sz w:val="24"/>
                <w:szCs w:val="24"/>
              </w:rPr>
            </w:pPr>
            <w:r w:rsidRPr="00C05C68">
              <w:rPr>
                <w:sz w:val="24"/>
                <w:szCs w:val="24"/>
              </w:rPr>
              <w:t>10/12</w:t>
            </w:r>
          </w:p>
        </w:tc>
        <w:tc>
          <w:tcPr>
            <w:tcW w:w="2970" w:type="dxa"/>
          </w:tcPr>
          <w:p w:rsidR="007500FF" w:rsidRPr="003959A2" w:rsidRDefault="007500FF" w:rsidP="005713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Error and Standard English</w:t>
            </w:r>
          </w:p>
        </w:tc>
        <w:tc>
          <w:tcPr>
            <w:tcW w:w="6840" w:type="dxa"/>
          </w:tcPr>
          <w:p w:rsidR="007500FF" w:rsidRPr="00C05C68" w:rsidRDefault="007500FF" w:rsidP="007500FF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proofErr w:type="spellStart"/>
            <w:r w:rsidRPr="00C05C68">
              <w:rPr>
                <w:sz w:val="24"/>
                <w:szCs w:val="24"/>
              </w:rPr>
              <w:t>Bartholomae</w:t>
            </w:r>
            <w:proofErr w:type="spellEnd"/>
            <w:r w:rsidRPr="00C05C68">
              <w:rPr>
                <w:sz w:val="24"/>
                <w:szCs w:val="24"/>
              </w:rPr>
              <w:t>, “The Study of Error”</w:t>
            </w:r>
          </w:p>
          <w:p w:rsidR="007500FF" w:rsidRPr="00C05C68" w:rsidRDefault="007500FF" w:rsidP="007500FF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C05C68">
              <w:rPr>
                <w:sz w:val="24"/>
                <w:szCs w:val="24"/>
              </w:rPr>
              <w:t>Williams, “The Phenomenology of Error”</w:t>
            </w:r>
          </w:p>
          <w:p w:rsidR="007500FF" w:rsidRPr="00C05C68" w:rsidRDefault="007500FF" w:rsidP="007500FF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C05C68">
              <w:rPr>
                <w:sz w:val="24"/>
                <w:szCs w:val="24"/>
              </w:rPr>
              <w:t>Hartwell, “Grammar, Grammars, and the Teaching of Grammar”</w:t>
            </w:r>
          </w:p>
        </w:tc>
      </w:tr>
      <w:tr w:rsidR="007500FF" w:rsidRPr="000548B9" w:rsidTr="005713DB">
        <w:tc>
          <w:tcPr>
            <w:tcW w:w="828" w:type="dxa"/>
          </w:tcPr>
          <w:p w:rsidR="007500FF" w:rsidRPr="00C05C68" w:rsidRDefault="007500FF" w:rsidP="005713DB">
            <w:pPr>
              <w:jc w:val="center"/>
              <w:rPr>
                <w:sz w:val="24"/>
                <w:szCs w:val="24"/>
              </w:rPr>
            </w:pPr>
            <w:r w:rsidRPr="00C05C68">
              <w:rPr>
                <w:sz w:val="24"/>
                <w:szCs w:val="24"/>
              </w:rPr>
              <w:t>10/19</w:t>
            </w:r>
          </w:p>
        </w:tc>
        <w:tc>
          <w:tcPr>
            <w:tcW w:w="2970" w:type="dxa"/>
          </w:tcPr>
          <w:p w:rsidR="007500FF" w:rsidRPr="003959A2" w:rsidRDefault="007500FF" w:rsidP="005713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Error and Standard English</w:t>
            </w:r>
          </w:p>
        </w:tc>
        <w:tc>
          <w:tcPr>
            <w:tcW w:w="6840" w:type="dxa"/>
          </w:tcPr>
          <w:p w:rsidR="007500FF" w:rsidRPr="00C05C68" w:rsidRDefault="007500FF" w:rsidP="007500FF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C05C68">
              <w:rPr>
                <w:sz w:val="24"/>
                <w:szCs w:val="24"/>
              </w:rPr>
              <w:t>Hairston, “Not All Errors Are Created Equal”</w:t>
            </w:r>
          </w:p>
          <w:p w:rsidR="007500FF" w:rsidRPr="00C05C68" w:rsidRDefault="007500FF" w:rsidP="007500FF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proofErr w:type="spellStart"/>
            <w:r w:rsidRPr="00C05C68">
              <w:rPr>
                <w:sz w:val="24"/>
                <w:szCs w:val="24"/>
              </w:rPr>
              <w:t>Charney</w:t>
            </w:r>
            <w:proofErr w:type="spellEnd"/>
            <w:r w:rsidRPr="00C05C68">
              <w:rPr>
                <w:sz w:val="24"/>
                <w:szCs w:val="24"/>
              </w:rPr>
              <w:t xml:space="preserve">, </w:t>
            </w:r>
            <w:proofErr w:type="spellStart"/>
            <w:r w:rsidRPr="00C05C68">
              <w:rPr>
                <w:sz w:val="24"/>
                <w:szCs w:val="24"/>
              </w:rPr>
              <w:t>Rayman</w:t>
            </w:r>
            <w:proofErr w:type="spellEnd"/>
            <w:r w:rsidRPr="00C05C68">
              <w:rPr>
                <w:sz w:val="24"/>
                <w:szCs w:val="24"/>
              </w:rPr>
              <w:t>, and Ferreira-Buckley, “How Writing Quality Influences Readers’ Judgments of Rés</w:t>
            </w:r>
            <w:r>
              <w:rPr>
                <w:sz w:val="24"/>
                <w:szCs w:val="24"/>
              </w:rPr>
              <w:t>umés</w:t>
            </w:r>
            <w:r w:rsidRPr="00C05C68">
              <w:rPr>
                <w:sz w:val="24"/>
                <w:szCs w:val="24"/>
              </w:rPr>
              <w:t>”</w:t>
            </w:r>
          </w:p>
          <w:p w:rsidR="007500FF" w:rsidRPr="00C05C68" w:rsidRDefault="007500FF" w:rsidP="007500FF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proofErr w:type="spellStart"/>
            <w:r w:rsidRPr="00C05C68">
              <w:rPr>
                <w:sz w:val="24"/>
                <w:szCs w:val="24"/>
              </w:rPr>
              <w:t>Beason</w:t>
            </w:r>
            <w:proofErr w:type="spellEnd"/>
            <w:r w:rsidRPr="00C05C68">
              <w:rPr>
                <w:sz w:val="24"/>
                <w:szCs w:val="24"/>
              </w:rPr>
              <w:t>, “Ethos and Error”</w:t>
            </w:r>
          </w:p>
        </w:tc>
      </w:tr>
      <w:tr w:rsidR="007500FF" w:rsidRPr="000548B9" w:rsidTr="005713DB">
        <w:tc>
          <w:tcPr>
            <w:tcW w:w="828" w:type="dxa"/>
          </w:tcPr>
          <w:p w:rsidR="007500FF" w:rsidRPr="00C05C68" w:rsidRDefault="007500FF" w:rsidP="005713DB">
            <w:pPr>
              <w:jc w:val="center"/>
              <w:rPr>
                <w:sz w:val="24"/>
                <w:szCs w:val="24"/>
              </w:rPr>
            </w:pPr>
            <w:r w:rsidRPr="00C05C68">
              <w:rPr>
                <w:sz w:val="24"/>
                <w:szCs w:val="24"/>
              </w:rPr>
              <w:t>10/26</w:t>
            </w:r>
          </w:p>
        </w:tc>
        <w:tc>
          <w:tcPr>
            <w:tcW w:w="2970" w:type="dxa"/>
          </w:tcPr>
          <w:p w:rsidR="007500FF" w:rsidRPr="003959A2" w:rsidRDefault="007500FF" w:rsidP="005713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Error and Standard English</w:t>
            </w:r>
          </w:p>
        </w:tc>
        <w:tc>
          <w:tcPr>
            <w:tcW w:w="6840" w:type="dxa"/>
          </w:tcPr>
          <w:p w:rsidR="007500FF" w:rsidRPr="00C05C68" w:rsidRDefault="007500FF" w:rsidP="007500FF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proofErr w:type="spellStart"/>
            <w:r w:rsidRPr="00C05C68">
              <w:rPr>
                <w:sz w:val="24"/>
                <w:szCs w:val="24"/>
              </w:rPr>
              <w:t>Haswell</w:t>
            </w:r>
            <w:proofErr w:type="spellEnd"/>
            <w:r w:rsidRPr="00C05C68">
              <w:rPr>
                <w:sz w:val="24"/>
                <w:szCs w:val="24"/>
              </w:rPr>
              <w:t>, “Error and Change in College Student Writing”</w:t>
            </w:r>
          </w:p>
          <w:p w:rsidR="007500FF" w:rsidRPr="00C05C68" w:rsidRDefault="007500FF" w:rsidP="007500FF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C05C68">
              <w:rPr>
                <w:sz w:val="24"/>
                <w:szCs w:val="24"/>
              </w:rPr>
              <w:t>Horner, “Rethinking the ‘Sociality’ of Error”</w:t>
            </w:r>
          </w:p>
          <w:p w:rsidR="007500FF" w:rsidRPr="00C05C68" w:rsidRDefault="007500FF" w:rsidP="007500FF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C05C68">
              <w:rPr>
                <w:sz w:val="24"/>
                <w:szCs w:val="24"/>
              </w:rPr>
              <w:t>Lu, “Professing Multiculturalism”</w:t>
            </w:r>
          </w:p>
        </w:tc>
      </w:tr>
      <w:tr w:rsidR="007500FF" w:rsidRPr="000548B9" w:rsidTr="005713DB">
        <w:tc>
          <w:tcPr>
            <w:tcW w:w="828" w:type="dxa"/>
          </w:tcPr>
          <w:p w:rsidR="007500FF" w:rsidRPr="00C05C68" w:rsidRDefault="007500FF" w:rsidP="005713DB">
            <w:pPr>
              <w:jc w:val="center"/>
              <w:rPr>
                <w:sz w:val="24"/>
                <w:szCs w:val="24"/>
              </w:rPr>
            </w:pPr>
            <w:r w:rsidRPr="00C05C68">
              <w:rPr>
                <w:sz w:val="24"/>
                <w:szCs w:val="24"/>
              </w:rPr>
              <w:t>11/2</w:t>
            </w:r>
          </w:p>
        </w:tc>
        <w:tc>
          <w:tcPr>
            <w:tcW w:w="2970" w:type="dxa"/>
          </w:tcPr>
          <w:p w:rsidR="007500FF" w:rsidRPr="003959A2" w:rsidRDefault="007500FF" w:rsidP="005713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Error and Standard English</w:t>
            </w:r>
          </w:p>
        </w:tc>
        <w:tc>
          <w:tcPr>
            <w:tcW w:w="6840" w:type="dxa"/>
          </w:tcPr>
          <w:p w:rsidR="007500FF" w:rsidRPr="00C05C68" w:rsidRDefault="007500FF" w:rsidP="007500FF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C05C68">
              <w:rPr>
                <w:sz w:val="24"/>
                <w:szCs w:val="24"/>
              </w:rPr>
              <w:t xml:space="preserve">Horner and </w:t>
            </w:r>
            <w:proofErr w:type="spellStart"/>
            <w:r w:rsidRPr="00C05C68">
              <w:rPr>
                <w:sz w:val="24"/>
                <w:szCs w:val="24"/>
              </w:rPr>
              <w:t>Trimbur</w:t>
            </w:r>
            <w:proofErr w:type="spellEnd"/>
            <w:r w:rsidRPr="00C05C68">
              <w:rPr>
                <w:sz w:val="24"/>
                <w:szCs w:val="24"/>
              </w:rPr>
              <w:t>, “English Only and U.S. College Composition”</w:t>
            </w:r>
          </w:p>
          <w:p w:rsidR="007500FF" w:rsidRPr="00C05C68" w:rsidRDefault="007500FF" w:rsidP="007500FF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proofErr w:type="spellStart"/>
            <w:r w:rsidRPr="00C05C68">
              <w:rPr>
                <w:sz w:val="24"/>
                <w:szCs w:val="24"/>
              </w:rPr>
              <w:t>Canagarajah</w:t>
            </w:r>
            <w:proofErr w:type="spellEnd"/>
            <w:r w:rsidRPr="00C05C68">
              <w:rPr>
                <w:sz w:val="24"/>
                <w:szCs w:val="24"/>
              </w:rPr>
              <w:t xml:space="preserve">, “The Place of World </w:t>
            </w:r>
            <w:proofErr w:type="spellStart"/>
            <w:r w:rsidRPr="00C05C68">
              <w:rPr>
                <w:sz w:val="24"/>
                <w:szCs w:val="24"/>
              </w:rPr>
              <w:t>Englishes</w:t>
            </w:r>
            <w:proofErr w:type="spellEnd"/>
            <w:r w:rsidRPr="00C05C68">
              <w:rPr>
                <w:sz w:val="24"/>
                <w:szCs w:val="24"/>
              </w:rPr>
              <w:t xml:space="preserve"> in Composition”</w:t>
            </w:r>
          </w:p>
        </w:tc>
      </w:tr>
      <w:tr w:rsidR="007500FF" w:rsidRPr="000548B9" w:rsidTr="005713DB">
        <w:tc>
          <w:tcPr>
            <w:tcW w:w="828" w:type="dxa"/>
          </w:tcPr>
          <w:p w:rsidR="007500FF" w:rsidRPr="00C05C68" w:rsidRDefault="007500FF" w:rsidP="005713DB">
            <w:pPr>
              <w:jc w:val="center"/>
              <w:rPr>
                <w:sz w:val="24"/>
                <w:szCs w:val="24"/>
              </w:rPr>
            </w:pPr>
            <w:r w:rsidRPr="00C05C68">
              <w:rPr>
                <w:sz w:val="24"/>
                <w:szCs w:val="24"/>
              </w:rPr>
              <w:t>11/9</w:t>
            </w:r>
          </w:p>
        </w:tc>
        <w:tc>
          <w:tcPr>
            <w:tcW w:w="2970" w:type="dxa"/>
          </w:tcPr>
          <w:p w:rsidR="007500FF" w:rsidRPr="003959A2" w:rsidRDefault="007500FF" w:rsidP="005713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Error and Standard English</w:t>
            </w:r>
          </w:p>
        </w:tc>
        <w:tc>
          <w:tcPr>
            <w:tcW w:w="6840" w:type="dxa"/>
          </w:tcPr>
          <w:p w:rsidR="007500FF" w:rsidRPr="00C05C68" w:rsidRDefault="007500FF" w:rsidP="007500FF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C05C68">
              <w:rPr>
                <w:sz w:val="24"/>
                <w:szCs w:val="24"/>
              </w:rPr>
              <w:t xml:space="preserve">Horner, Lu, </w:t>
            </w:r>
            <w:proofErr w:type="spellStart"/>
            <w:r w:rsidRPr="00C05C68">
              <w:rPr>
                <w:sz w:val="24"/>
                <w:szCs w:val="24"/>
              </w:rPr>
              <w:t>Royster</w:t>
            </w:r>
            <w:proofErr w:type="spellEnd"/>
            <w:r w:rsidRPr="00C05C68">
              <w:rPr>
                <w:sz w:val="24"/>
                <w:szCs w:val="24"/>
              </w:rPr>
              <w:t xml:space="preserve">, and </w:t>
            </w:r>
            <w:proofErr w:type="spellStart"/>
            <w:r w:rsidRPr="00C05C68">
              <w:rPr>
                <w:sz w:val="24"/>
                <w:szCs w:val="24"/>
              </w:rPr>
              <w:t>Trimbur</w:t>
            </w:r>
            <w:proofErr w:type="spellEnd"/>
            <w:r w:rsidRPr="00C05C68">
              <w:rPr>
                <w:sz w:val="24"/>
                <w:szCs w:val="24"/>
              </w:rPr>
              <w:t xml:space="preserve">, “Language Difference in Writing: Toward a </w:t>
            </w:r>
            <w:proofErr w:type="spellStart"/>
            <w:r w:rsidRPr="00C05C68">
              <w:rPr>
                <w:sz w:val="24"/>
                <w:szCs w:val="24"/>
              </w:rPr>
              <w:t>Translingual</w:t>
            </w:r>
            <w:proofErr w:type="spellEnd"/>
            <w:r w:rsidRPr="00C05C68">
              <w:rPr>
                <w:sz w:val="24"/>
                <w:szCs w:val="24"/>
              </w:rPr>
              <w:t xml:space="preserve"> Approach”</w:t>
            </w:r>
          </w:p>
          <w:p w:rsidR="007500FF" w:rsidRPr="00C05C68" w:rsidRDefault="007500FF" w:rsidP="007500FF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C05C68">
              <w:rPr>
                <w:sz w:val="24"/>
                <w:szCs w:val="24"/>
              </w:rPr>
              <w:t>Lu and Horner, “</w:t>
            </w:r>
            <w:proofErr w:type="spellStart"/>
            <w:r w:rsidRPr="00C05C68">
              <w:rPr>
                <w:sz w:val="24"/>
                <w:szCs w:val="24"/>
              </w:rPr>
              <w:t>Translingual</w:t>
            </w:r>
            <w:proofErr w:type="spellEnd"/>
            <w:r w:rsidRPr="00C05C68">
              <w:rPr>
                <w:sz w:val="24"/>
                <w:szCs w:val="24"/>
              </w:rPr>
              <w:t xml:space="preserve"> Literacy, Language Difference, and Matters of Agency”</w:t>
            </w:r>
          </w:p>
          <w:p w:rsidR="007500FF" w:rsidRPr="00C05C68" w:rsidRDefault="007500FF" w:rsidP="007500FF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C05C68">
              <w:rPr>
                <w:sz w:val="24"/>
                <w:szCs w:val="24"/>
              </w:rPr>
              <w:t>De Costa, et al., “</w:t>
            </w:r>
            <w:proofErr w:type="spellStart"/>
            <w:r w:rsidRPr="00C05C68">
              <w:rPr>
                <w:sz w:val="24"/>
                <w:szCs w:val="24"/>
              </w:rPr>
              <w:t>PedagogizingTranslingual</w:t>
            </w:r>
            <w:proofErr w:type="spellEnd"/>
            <w:r w:rsidRPr="00C05C68">
              <w:rPr>
                <w:sz w:val="24"/>
                <w:szCs w:val="24"/>
              </w:rPr>
              <w:t xml:space="preserve"> Practice”</w:t>
            </w:r>
          </w:p>
        </w:tc>
      </w:tr>
      <w:tr w:rsidR="007500FF" w:rsidRPr="000548B9" w:rsidTr="005713DB">
        <w:tc>
          <w:tcPr>
            <w:tcW w:w="828" w:type="dxa"/>
          </w:tcPr>
          <w:p w:rsidR="007500FF" w:rsidRPr="00C05C68" w:rsidRDefault="007500FF" w:rsidP="005713DB">
            <w:pPr>
              <w:jc w:val="center"/>
              <w:rPr>
                <w:sz w:val="24"/>
                <w:szCs w:val="24"/>
              </w:rPr>
            </w:pPr>
            <w:r w:rsidRPr="00C05C68">
              <w:rPr>
                <w:sz w:val="24"/>
                <w:szCs w:val="24"/>
              </w:rPr>
              <w:t>11/16</w:t>
            </w:r>
          </w:p>
        </w:tc>
        <w:tc>
          <w:tcPr>
            <w:tcW w:w="2970" w:type="dxa"/>
          </w:tcPr>
          <w:p w:rsidR="007500FF" w:rsidRPr="003959A2" w:rsidRDefault="007500FF" w:rsidP="005713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Labor Conditions</w:t>
            </w:r>
          </w:p>
        </w:tc>
        <w:tc>
          <w:tcPr>
            <w:tcW w:w="6840" w:type="dxa"/>
          </w:tcPr>
          <w:p w:rsidR="007500FF" w:rsidRPr="00C05C68" w:rsidRDefault="007500FF" w:rsidP="007500FF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C05C68">
              <w:rPr>
                <w:sz w:val="24"/>
                <w:szCs w:val="24"/>
              </w:rPr>
              <w:t>McDonald and Schell, “The Spirit and Influence of the Wyoming Resolution”</w:t>
            </w:r>
          </w:p>
          <w:p w:rsidR="007500FF" w:rsidRPr="00C05C68" w:rsidRDefault="007500FF" w:rsidP="007500FF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C05C68">
              <w:rPr>
                <w:sz w:val="24"/>
                <w:szCs w:val="24"/>
              </w:rPr>
              <w:t>Cox, et al., “The Indianapolis Resolution”</w:t>
            </w:r>
          </w:p>
        </w:tc>
      </w:tr>
      <w:tr w:rsidR="007500FF" w:rsidRPr="000548B9" w:rsidTr="005713DB">
        <w:tc>
          <w:tcPr>
            <w:tcW w:w="828" w:type="dxa"/>
          </w:tcPr>
          <w:p w:rsidR="007500FF" w:rsidRPr="00C05C68" w:rsidRDefault="007500FF" w:rsidP="005713DB">
            <w:pPr>
              <w:jc w:val="center"/>
              <w:rPr>
                <w:sz w:val="24"/>
                <w:szCs w:val="24"/>
              </w:rPr>
            </w:pPr>
            <w:r w:rsidRPr="00C05C68">
              <w:rPr>
                <w:sz w:val="24"/>
                <w:szCs w:val="24"/>
              </w:rPr>
              <w:t>11/30</w:t>
            </w:r>
          </w:p>
        </w:tc>
        <w:tc>
          <w:tcPr>
            <w:tcW w:w="2970" w:type="dxa"/>
          </w:tcPr>
          <w:p w:rsidR="007500FF" w:rsidRPr="00E720C3" w:rsidRDefault="007500FF" w:rsidP="005713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Reflections</w:t>
            </w:r>
          </w:p>
        </w:tc>
        <w:tc>
          <w:tcPr>
            <w:tcW w:w="6840" w:type="dxa"/>
          </w:tcPr>
          <w:p w:rsidR="007500FF" w:rsidRPr="00C05C68" w:rsidRDefault="007500FF" w:rsidP="007500FF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Teller, “Are We Teaching Composition All Wrong?"</w:t>
            </w:r>
          </w:p>
          <w:p w:rsidR="007500FF" w:rsidRPr="00E720C3" w:rsidRDefault="007500FF" w:rsidP="007500FF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Stewart, “No, We’re Not Teaching Composition ‘All Wrong’”</w:t>
            </w:r>
          </w:p>
        </w:tc>
      </w:tr>
    </w:tbl>
    <w:p w:rsidR="003D698A" w:rsidRPr="009B2AAB" w:rsidRDefault="003D698A" w:rsidP="009B2AAB">
      <w:pPr>
        <w:spacing w:after="0" w:line="240" w:lineRule="auto"/>
        <w:rPr>
          <w:sz w:val="20"/>
          <w:szCs w:val="20"/>
        </w:rPr>
      </w:pPr>
    </w:p>
    <w:sectPr w:rsidR="003D698A" w:rsidRPr="009B2AAB" w:rsidSect="0041721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E0EAC"/>
    <w:multiLevelType w:val="hybridMultilevel"/>
    <w:tmpl w:val="085C3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730FFA"/>
    <w:multiLevelType w:val="hybridMultilevel"/>
    <w:tmpl w:val="5E020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BE697D"/>
    <w:multiLevelType w:val="hybridMultilevel"/>
    <w:tmpl w:val="F19A5F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AB6089C"/>
    <w:multiLevelType w:val="hybridMultilevel"/>
    <w:tmpl w:val="E9E47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951595"/>
    <w:multiLevelType w:val="hybridMultilevel"/>
    <w:tmpl w:val="42902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3A0081"/>
    <w:multiLevelType w:val="hybridMultilevel"/>
    <w:tmpl w:val="103C4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2B328F"/>
    <w:multiLevelType w:val="hybridMultilevel"/>
    <w:tmpl w:val="8C4A7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95276A"/>
    <w:multiLevelType w:val="hybridMultilevel"/>
    <w:tmpl w:val="6C429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B200EF"/>
    <w:multiLevelType w:val="hybridMultilevel"/>
    <w:tmpl w:val="1464A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1653A0"/>
    <w:multiLevelType w:val="hybridMultilevel"/>
    <w:tmpl w:val="D6563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2A4916"/>
    <w:multiLevelType w:val="hybridMultilevel"/>
    <w:tmpl w:val="3FC01F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66E028C"/>
    <w:multiLevelType w:val="hybridMultilevel"/>
    <w:tmpl w:val="E1540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2A7068"/>
    <w:multiLevelType w:val="hybridMultilevel"/>
    <w:tmpl w:val="0E645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171032"/>
    <w:multiLevelType w:val="hybridMultilevel"/>
    <w:tmpl w:val="539047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6C10A66"/>
    <w:multiLevelType w:val="hybridMultilevel"/>
    <w:tmpl w:val="4F2E26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EFF5757"/>
    <w:multiLevelType w:val="hybridMultilevel"/>
    <w:tmpl w:val="FDD22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B92419"/>
    <w:multiLevelType w:val="hybridMultilevel"/>
    <w:tmpl w:val="2CB0B1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77D26AC"/>
    <w:multiLevelType w:val="hybridMultilevel"/>
    <w:tmpl w:val="947CC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0D024B"/>
    <w:multiLevelType w:val="hybridMultilevel"/>
    <w:tmpl w:val="E32214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F075B97"/>
    <w:multiLevelType w:val="hybridMultilevel"/>
    <w:tmpl w:val="D8A27B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85259C0"/>
    <w:multiLevelType w:val="hybridMultilevel"/>
    <w:tmpl w:val="C2B66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5F43E1"/>
    <w:multiLevelType w:val="hybridMultilevel"/>
    <w:tmpl w:val="BE6E32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F56076F"/>
    <w:multiLevelType w:val="hybridMultilevel"/>
    <w:tmpl w:val="A3102B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08D11C2"/>
    <w:multiLevelType w:val="hybridMultilevel"/>
    <w:tmpl w:val="C41843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0B06412"/>
    <w:multiLevelType w:val="hybridMultilevel"/>
    <w:tmpl w:val="8702E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CE5CED"/>
    <w:multiLevelType w:val="hybridMultilevel"/>
    <w:tmpl w:val="7CA4FE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2"/>
  </w:num>
  <w:num w:numId="3">
    <w:abstractNumId w:val="23"/>
  </w:num>
  <w:num w:numId="4">
    <w:abstractNumId w:val="14"/>
  </w:num>
  <w:num w:numId="5">
    <w:abstractNumId w:val="10"/>
  </w:num>
  <w:num w:numId="6">
    <w:abstractNumId w:val="18"/>
  </w:num>
  <w:num w:numId="7">
    <w:abstractNumId w:val="25"/>
  </w:num>
  <w:num w:numId="8">
    <w:abstractNumId w:val="21"/>
  </w:num>
  <w:num w:numId="9">
    <w:abstractNumId w:val="19"/>
  </w:num>
  <w:num w:numId="10">
    <w:abstractNumId w:val="2"/>
  </w:num>
  <w:num w:numId="11">
    <w:abstractNumId w:val="13"/>
  </w:num>
  <w:num w:numId="12">
    <w:abstractNumId w:val="4"/>
  </w:num>
  <w:num w:numId="13">
    <w:abstractNumId w:val="5"/>
  </w:num>
  <w:num w:numId="14">
    <w:abstractNumId w:val="17"/>
  </w:num>
  <w:num w:numId="15">
    <w:abstractNumId w:val="12"/>
  </w:num>
  <w:num w:numId="16">
    <w:abstractNumId w:val="3"/>
  </w:num>
  <w:num w:numId="17">
    <w:abstractNumId w:val="24"/>
  </w:num>
  <w:num w:numId="18">
    <w:abstractNumId w:val="15"/>
  </w:num>
  <w:num w:numId="19">
    <w:abstractNumId w:val="7"/>
  </w:num>
  <w:num w:numId="20">
    <w:abstractNumId w:val="0"/>
  </w:num>
  <w:num w:numId="21">
    <w:abstractNumId w:val="20"/>
  </w:num>
  <w:num w:numId="22">
    <w:abstractNumId w:val="1"/>
  </w:num>
  <w:num w:numId="23">
    <w:abstractNumId w:val="16"/>
  </w:num>
  <w:num w:numId="24">
    <w:abstractNumId w:val="8"/>
  </w:num>
  <w:num w:numId="25">
    <w:abstractNumId w:val="9"/>
  </w:num>
  <w:num w:numId="2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F3DBC"/>
    <w:rsid w:val="00002504"/>
    <w:rsid w:val="00002BC4"/>
    <w:rsid w:val="00021D74"/>
    <w:rsid w:val="0005249C"/>
    <w:rsid w:val="000548B9"/>
    <w:rsid w:val="00062F28"/>
    <w:rsid w:val="000F50C0"/>
    <w:rsid w:val="00115437"/>
    <w:rsid w:val="00115494"/>
    <w:rsid w:val="00146228"/>
    <w:rsid w:val="00222E3E"/>
    <w:rsid w:val="00243B47"/>
    <w:rsid w:val="0027186D"/>
    <w:rsid w:val="00274835"/>
    <w:rsid w:val="00293C94"/>
    <w:rsid w:val="002C0251"/>
    <w:rsid w:val="002F0449"/>
    <w:rsid w:val="0038496D"/>
    <w:rsid w:val="003932BB"/>
    <w:rsid w:val="003A6F8F"/>
    <w:rsid w:val="003D698A"/>
    <w:rsid w:val="003E422C"/>
    <w:rsid w:val="003E516B"/>
    <w:rsid w:val="00411CF9"/>
    <w:rsid w:val="004140AC"/>
    <w:rsid w:val="00417215"/>
    <w:rsid w:val="00460EB5"/>
    <w:rsid w:val="0047254F"/>
    <w:rsid w:val="004B1ADF"/>
    <w:rsid w:val="004B3483"/>
    <w:rsid w:val="004C21F4"/>
    <w:rsid w:val="004E1891"/>
    <w:rsid w:val="0050653D"/>
    <w:rsid w:val="00514C91"/>
    <w:rsid w:val="0054739A"/>
    <w:rsid w:val="00553284"/>
    <w:rsid w:val="00553891"/>
    <w:rsid w:val="0056175A"/>
    <w:rsid w:val="00562D84"/>
    <w:rsid w:val="005928F0"/>
    <w:rsid w:val="005A7228"/>
    <w:rsid w:val="005C34AA"/>
    <w:rsid w:val="005D0BA5"/>
    <w:rsid w:val="005E2221"/>
    <w:rsid w:val="00642DD4"/>
    <w:rsid w:val="006435A7"/>
    <w:rsid w:val="006C00F1"/>
    <w:rsid w:val="006D5C3B"/>
    <w:rsid w:val="006E04F0"/>
    <w:rsid w:val="00720CF0"/>
    <w:rsid w:val="007325B7"/>
    <w:rsid w:val="00745A2A"/>
    <w:rsid w:val="007500FF"/>
    <w:rsid w:val="007B358B"/>
    <w:rsid w:val="00800CD1"/>
    <w:rsid w:val="00836DFC"/>
    <w:rsid w:val="00872957"/>
    <w:rsid w:val="00896E73"/>
    <w:rsid w:val="008C2E55"/>
    <w:rsid w:val="008D3328"/>
    <w:rsid w:val="008D6420"/>
    <w:rsid w:val="008F3DBC"/>
    <w:rsid w:val="00916A25"/>
    <w:rsid w:val="00920353"/>
    <w:rsid w:val="00940420"/>
    <w:rsid w:val="00953105"/>
    <w:rsid w:val="00974D90"/>
    <w:rsid w:val="00995B41"/>
    <w:rsid w:val="009B0809"/>
    <w:rsid w:val="009B2AAB"/>
    <w:rsid w:val="009F0216"/>
    <w:rsid w:val="009F7331"/>
    <w:rsid w:val="00A10380"/>
    <w:rsid w:val="00A3218C"/>
    <w:rsid w:val="00A66FB9"/>
    <w:rsid w:val="00A83F6A"/>
    <w:rsid w:val="00A96FB1"/>
    <w:rsid w:val="00AC5A57"/>
    <w:rsid w:val="00AE670E"/>
    <w:rsid w:val="00B04104"/>
    <w:rsid w:val="00B12CCD"/>
    <w:rsid w:val="00B4638F"/>
    <w:rsid w:val="00B60500"/>
    <w:rsid w:val="00BC34C6"/>
    <w:rsid w:val="00BC5DDD"/>
    <w:rsid w:val="00BE1236"/>
    <w:rsid w:val="00BE1A24"/>
    <w:rsid w:val="00BF7435"/>
    <w:rsid w:val="00C145D5"/>
    <w:rsid w:val="00C17D6D"/>
    <w:rsid w:val="00C4730F"/>
    <w:rsid w:val="00C5114F"/>
    <w:rsid w:val="00C55DB4"/>
    <w:rsid w:val="00C5770D"/>
    <w:rsid w:val="00C63F43"/>
    <w:rsid w:val="00C640B0"/>
    <w:rsid w:val="00D16D06"/>
    <w:rsid w:val="00D45D8D"/>
    <w:rsid w:val="00D74C49"/>
    <w:rsid w:val="00D81AFF"/>
    <w:rsid w:val="00DE6157"/>
    <w:rsid w:val="00DF7F14"/>
    <w:rsid w:val="00E02E58"/>
    <w:rsid w:val="00E40E54"/>
    <w:rsid w:val="00E974D0"/>
    <w:rsid w:val="00ED470C"/>
    <w:rsid w:val="00F15EF1"/>
    <w:rsid w:val="00F240D4"/>
    <w:rsid w:val="00F5497C"/>
    <w:rsid w:val="00F86C5C"/>
    <w:rsid w:val="00FC7EA1"/>
    <w:rsid w:val="00FD54BC"/>
    <w:rsid w:val="00FF2944"/>
    <w:rsid w:val="00FF3F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D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3D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62D8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86C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6C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6C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6C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6C5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6C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C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6C94E8-22B3-43DC-88A7-58E4B3D98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Texas at Arlington</Company>
  <LinksUpToDate>false</LinksUpToDate>
  <CharactersWithSpaces>4332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UTA</dc:creator>
  <cp:lastModifiedBy>Jim</cp:lastModifiedBy>
  <cp:revision>2</cp:revision>
  <cp:lastPrinted>2016-08-19T13:56:00Z</cp:lastPrinted>
  <dcterms:created xsi:type="dcterms:W3CDTF">2017-08-29T13:09:00Z</dcterms:created>
  <dcterms:modified xsi:type="dcterms:W3CDTF">2017-08-29T13:09:00Z</dcterms:modified>
</cp:coreProperties>
</file>