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09" w:rsidRDefault="00CE3109">
      <w:pPr>
        <w:pStyle w:val="Title"/>
        <w:rPr>
          <w:sz w:val="24"/>
        </w:rPr>
      </w:pPr>
      <w:r>
        <w:t xml:space="preserve">CE </w:t>
      </w:r>
      <w:r w:rsidR="0069725E">
        <w:t>4310</w:t>
      </w:r>
      <w:r>
        <w:t xml:space="preserve">: </w:t>
      </w:r>
      <w:r>
        <w:rPr>
          <w:bCs/>
        </w:rPr>
        <w:t>System Evaluation</w:t>
      </w:r>
      <w:r>
        <w:t xml:space="preserve"> </w:t>
      </w:r>
      <w:r w:rsidR="0069725E">
        <w:t>in Civil Engineering</w:t>
      </w:r>
    </w:p>
    <w:p w:rsidR="00CE3109" w:rsidRDefault="00CE3109">
      <w:pPr>
        <w:jc w:val="center"/>
        <w:rPr>
          <w:b/>
          <w:sz w:val="16"/>
          <w:szCs w:val="16"/>
        </w:rPr>
      </w:pPr>
    </w:p>
    <w:p w:rsidR="00CE3109" w:rsidRDefault="00CE3109">
      <w:pPr>
        <w:pStyle w:val="Subtitle"/>
      </w:pPr>
      <w:r>
        <w:t>Spring 201</w:t>
      </w:r>
      <w:r w:rsidR="0061345E">
        <w:t>9</w:t>
      </w:r>
    </w:p>
    <w:p w:rsidR="00CE3109" w:rsidRDefault="00CE3109">
      <w:pPr>
        <w:pStyle w:val="Subtitle"/>
      </w:pPr>
      <w:r>
        <w:t>UTA Civil Engineering Program</w:t>
      </w:r>
    </w:p>
    <w:p w:rsidR="00CE3109" w:rsidRDefault="00CE3109">
      <w:pPr>
        <w:rPr>
          <w:sz w:val="16"/>
          <w:szCs w:val="16"/>
        </w:rPr>
      </w:pPr>
    </w:p>
    <w:p w:rsidR="00CE3109" w:rsidRPr="006B1107" w:rsidRDefault="006B1107" w:rsidP="006B1107">
      <w:pPr>
        <w:ind w:left="2160" w:hanging="2160"/>
      </w:pPr>
      <w:r>
        <w:t>Classes:</w:t>
      </w:r>
      <w:r>
        <w:tab/>
      </w:r>
      <w:r w:rsidRPr="006B1107">
        <w:t>Mon</w:t>
      </w:r>
      <w:r w:rsidR="00F510E0" w:rsidRPr="006B1107">
        <w:t xml:space="preserve">days and </w:t>
      </w:r>
      <w:r w:rsidRPr="006B1107">
        <w:t>Wednes</w:t>
      </w:r>
      <w:r w:rsidR="00F510E0" w:rsidRPr="006B1107">
        <w:t>days</w:t>
      </w:r>
      <w:r w:rsidR="00CE3109" w:rsidRPr="006B1107">
        <w:t xml:space="preserve">, </w:t>
      </w:r>
      <w:r w:rsidRPr="006B1107">
        <w:t>2</w:t>
      </w:r>
      <w:r w:rsidR="00F510E0" w:rsidRPr="006B1107">
        <w:t>:30</w:t>
      </w:r>
      <w:r w:rsidR="00CE3109" w:rsidRPr="006B1107">
        <w:t xml:space="preserve"> – </w:t>
      </w:r>
      <w:r w:rsidRPr="006B1107">
        <w:t>3</w:t>
      </w:r>
      <w:r w:rsidR="00F510E0" w:rsidRPr="006B1107">
        <w:t>:50</w:t>
      </w:r>
      <w:r w:rsidR="00CE3109" w:rsidRPr="006B1107">
        <w:t xml:space="preserve"> pm, </w:t>
      </w:r>
      <w:r w:rsidR="00A11D62">
        <w:t xml:space="preserve">109 </w:t>
      </w:r>
      <w:proofErr w:type="spellStart"/>
      <w:r w:rsidR="00A11D62">
        <w:t>Nedderman</w:t>
      </w:r>
      <w:proofErr w:type="spellEnd"/>
      <w:r w:rsidR="00A11D62">
        <w:t xml:space="preserve"> Hall</w:t>
      </w:r>
    </w:p>
    <w:p w:rsidR="00CE3109" w:rsidRPr="006B1107" w:rsidRDefault="00CE3109">
      <w:pPr>
        <w:rPr>
          <w:sz w:val="16"/>
          <w:szCs w:val="16"/>
          <w:lang w:val="fr-FR"/>
        </w:rPr>
      </w:pPr>
    </w:p>
    <w:p w:rsidR="00CE3109" w:rsidRPr="006B1107" w:rsidRDefault="00CE3109">
      <w:r w:rsidRPr="006B1107">
        <w:t>Professor:</w:t>
      </w:r>
      <w:r w:rsidRPr="006B1107">
        <w:tab/>
      </w:r>
      <w:r w:rsidRPr="006B1107">
        <w:tab/>
        <w:t>Dr. Stephen Mattingly</w:t>
      </w:r>
    </w:p>
    <w:p w:rsidR="00CE3109" w:rsidRPr="006B1107" w:rsidRDefault="00CE3109">
      <w:r w:rsidRPr="006B1107">
        <w:t>Phone:</w:t>
      </w:r>
      <w:r w:rsidRPr="006B1107">
        <w:tab/>
      </w:r>
      <w:r w:rsidRPr="006B1107">
        <w:tab/>
      </w:r>
      <w:r w:rsidRPr="006B1107">
        <w:tab/>
        <w:t>272-2859</w:t>
      </w:r>
    </w:p>
    <w:p w:rsidR="00CE3109" w:rsidRPr="006B1107" w:rsidRDefault="00CE3109">
      <w:r w:rsidRPr="006B1107">
        <w:t>Fax:</w:t>
      </w:r>
      <w:r w:rsidRPr="006B1107">
        <w:tab/>
      </w:r>
      <w:r w:rsidRPr="006B1107">
        <w:tab/>
      </w:r>
      <w:r w:rsidRPr="006B1107">
        <w:tab/>
        <w:t>272-2630</w:t>
      </w:r>
    </w:p>
    <w:p w:rsidR="00CE3109" w:rsidRPr="006B1107" w:rsidRDefault="00CE3109">
      <w:r w:rsidRPr="006B1107">
        <w:t>E-mail:</w:t>
      </w:r>
      <w:r w:rsidRPr="006B1107">
        <w:tab/>
      </w:r>
      <w:r w:rsidRPr="006B1107">
        <w:tab/>
        <w:t>mattingly@uta.edu</w:t>
      </w:r>
    </w:p>
    <w:p w:rsidR="00CE3109" w:rsidRPr="006B1107" w:rsidRDefault="00CE3109">
      <w:r w:rsidRPr="006B1107">
        <w:t>Office:</w:t>
      </w:r>
      <w:r w:rsidRPr="006B1107">
        <w:tab/>
      </w:r>
      <w:r w:rsidRPr="006B1107">
        <w:tab/>
      </w:r>
      <w:r w:rsidRPr="006B1107">
        <w:tab/>
      </w:r>
      <w:proofErr w:type="spellStart"/>
      <w:r w:rsidRPr="006B1107">
        <w:t>Nedderman</w:t>
      </w:r>
      <w:proofErr w:type="spellEnd"/>
      <w:r w:rsidRPr="006B1107">
        <w:t xml:space="preserve"> Hall 432</w:t>
      </w:r>
    </w:p>
    <w:p w:rsidR="00CE3109" w:rsidRPr="006B1107" w:rsidRDefault="00CE3109">
      <w:pPr>
        <w:pStyle w:val="BodyTextIndent"/>
      </w:pPr>
      <w:r w:rsidRPr="006B1107">
        <w:t xml:space="preserve">Office </w:t>
      </w:r>
      <w:proofErr w:type="spellStart"/>
      <w:r w:rsidRPr="006B1107">
        <w:t>Hrs</w:t>
      </w:r>
      <w:proofErr w:type="spellEnd"/>
      <w:r w:rsidRPr="006B1107">
        <w:t>:</w:t>
      </w:r>
      <w:r w:rsidRPr="006B1107">
        <w:tab/>
      </w:r>
      <w:r w:rsidR="00F510E0" w:rsidRPr="006B1107">
        <w:t>Tuesdays and Thursdays, 11-12 and 1-3, or by appointment</w:t>
      </w:r>
    </w:p>
    <w:p w:rsidR="00CE3109" w:rsidRPr="006B1107" w:rsidRDefault="00CE3109">
      <w:pPr>
        <w:pStyle w:val="BodyTextIndent"/>
        <w:rPr>
          <w:sz w:val="16"/>
          <w:szCs w:val="16"/>
        </w:rPr>
      </w:pPr>
    </w:p>
    <w:p w:rsidR="00DE6CDB" w:rsidRDefault="00DE6CDB" w:rsidP="00DE6CDB">
      <w:pPr>
        <w:pStyle w:val="BodyTextIndent"/>
      </w:pPr>
      <w:r w:rsidRPr="006B1107">
        <w:t>Teaching Assistant:</w:t>
      </w:r>
      <w:r w:rsidRPr="006B1107">
        <w:tab/>
      </w:r>
      <w:r w:rsidR="00A90CF1" w:rsidRPr="006B1107">
        <w:rPr>
          <w:rStyle w:val="highlight"/>
        </w:rPr>
        <w:t>Saeed</w:t>
      </w:r>
      <w:r w:rsidR="00A90CF1" w:rsidRPr="006B1107">
        <w:rPr>
          <w:rStyle w:val="bidi"/>
        </w:rPr>
        <w:t xml:space="preserve"> </w:t>
      </w:r>
      <w:r w:rsidR="00A90CF1" w:rsidRPr="006B1107">
        <w:rPr>
          <w:rStyle w:val="highlight"/>
        </w:rPr>
        <w:t>Reza</w:t>
      </w:r>
      <w:r w:rsidR="00A90CF1" w:rsidRPr="006B1107">
        <w:rPr>
          <w:rStyle w:val="bidi"/>
        </w:rPr>
        <w:t xml:space="preserve"> </w:t>
      </w:r>
      <w:proofErr w:type="spellStart"/>
      <w:r w:rsidR="00A90CF1" w:rsidRPr="006B1107">
        <w:rPr>
          <w:rStyle w:val="currenthithighlight"/>
        </w:rPr>
        <w:t>Ramezanpour</w:t>
      </w:r>
      <w:proofErr w:type="spellEnd"/>
      <w:r w:rsidR="00A90CF1" w:rsidRPr="006B1107">
        <w:rPr>
          <w:rStyle w:val="bidi"/>
        </w:rPr>
        <w:t xml:space="preserve"> </w:t>
      </w:r>
      <w:proofErr w:type="spellStart"/>
      <w:r w:rsidR="00A90CF1" w:rsidRPr="006B1107">
        <w:rPr>
          <w:rStyle w:val="highlight"/>
        </w:rPr>
        <w:t>Nargesi</w:t>
      </w:r>
      <w:proofErr w:type="spellEnd"/>
      <w:r w:rsidR="00A90CF1" w:rsidRPr="006B1107">
        <w:rPr>
          <w:rStyle w:val="highlight"/>
        </w:rPr>
        <w:t>,</w:t>
      </w:r>
      <w:r w:rsidR="00A90CF1" w:rsidRPr="006B1107">
        <w:rPr>
          <w:rStyle w:val="bidi"/>
        </w:rPr>
        <w:t xml:space="preserve"> (</w:t>
      </w:r>
      <w:r w:rsidR="00A90CF1" w:rsidRPr="006B1107">
        <w:rPr>
          <w:rStyle w:val="highlight"/>
        </w:rPr>
        <w:t>saeed</w:t>
      </w:r>
      <w:r w:rsidR="00A90CF1" w:rsidRPr="006B1107">
        <w:rPr>
          <w:rStyle w:val="highlight"/>
          <w:szCs w:val="24"/>
        </w:rPr>
        <w:t>reza</w:t>
      </w:r>
      <w:r w:rsidR="00A90CF1" w:rsidRPr="006B1107">
        <w:rPr>
          <w:rStyle w:val="bidi"/>
        </w:rPr>
        <w:t>.</w:t>
      </w:r>
      <w:r w:rsidR="00A90CF1" w:rsidRPr="006B1107">
        <w:rPr>
          <w:rStyle w:val="highlight"/>
        </w:rPr>
        <w:t>ramezanpour</w:t>
      </w:r>
      <w:r w:rsidR="00A90CF1" w:rsidRPr="006B1107">
        <w:rPr>
          <w:rStyle w:val="bidi"/>
        </w:rPr>
        <w:t>nargesi@mavs.uta.edu)</w:t>
      </w:r>
      <w:r w:rsidR="00A90CF1" w:rsidRPr="006B1107">
        <w:t>, NH B24</w:t>
      </w:r>
    </w:p>
    <w:p w:rsidR="00CE3109" w:rsidRDefault="00CE3109">
      <w:pPr>
        <w:rPr>
          <w:sz w:val="16"/>
          <w:szCs w:val="16"/>
        </w:rPr>
      </w:pPr>
    </w:p>
    <w:p w:rsidR="00CE3109" w:rsidRDefault="00CE3109">
      <w:pPr>
        <w:ind w:left="2160" w:hanging="2160"/>
      </w:pPr>
      <w:r>
        <w:t>Textbooks:</w:t>
      </w:r>
      <w:r>
        <w:tab/>
      </w:r>
      <w:r>
        <w:rPr>
          <w:b/>
        </w:rPr>
        <w:t>Required:</w:t>
      </w:r>
      <w:r>
        <w:t xml:space="preserve"> </w:t>
      </w:r>
      <w:r>
        <w:rPr>
          <w:u w:val="single"/>
        </w:rPr>
        <w:t>Engineering Project Appraisal</w:t>
      </w:r>
      <w:r>
        <w:t>, Rogers</w:t>
      </w:r>
      <w:r w:rsidR="004C57CC">
        <w:t xml:space="preserve"> and Duffy</w:t>
      </w:r>
      <w:r>
        <w:t xml:space="preserve">, </w:t>
      </w:r>
      <w:r w:rsidR="0082712A">
        <w:t>2</w:t>
      </w:r>
      <w:r w:rsidR="0082712A" w:rsidRPr="0082712A">
        <w:rPr>
          <w:vertAlign w:val="superscript"/>
        </w:rPr>
        <w:t>nd</w:t>
      </w:r>
      <w:r w:rsidR="0082712A">
        <w:t xml:space="preserve"> edition</w:t>
      </w:r>
      <w:r w:rsidR="009D4D3D">
        <w:t>, 2012</w:t>
      </w:r>
    </w:p>
    <w:p w:rsidR="00CE3109" w:rsidRDefault="00CE3109">
      <w:pPr>
        <w:ind w:left="2160" w:hanging="2160"/>
        <w:rPr>
          <w:sz w:val="16"/>
          <w:szCs w:val="16"/>
        </w:rPr>
      </w:pPr>
    </w:p>
    <w:p w:rsidR="00CE3109" w:rsidRDefault="00CE3109">
      <w:r>
        <w:t>References:</w:t>
      </w:r>
      <w:r>
        <w:tab/>
      </w:r>
      <w:r>
        <w:tab/>
      </w:r>
      <w:r>
        <w:rPr>
          <w:u w:val="single"/>
        </w:rPr>
        <w:t>Decisions with Multiple Objectives</w:t>
      </w:r>
      <w:r>
        <w:t xml:space="preserve">, Keeney and </w:t>
      </w:r>
      <w:proofErr w:type="spellStart"/>
      <w:r>
        <w:t>Raiffa</w:t>
      </w:r>
      <w:proofErr w:type="spellEnd"/>
      <w:r>
        <w:t>, 1976</w:t>
      </w:r>
    </w:p>
    <w:p w:rsidR="00CE3109" w:rsidRDefault="00CE3109">
      <w:r>
        <w:tab/>
      </w:r>
      <w:r>
        <w:tab/>
      </w:r>
      <w:r>
        <w:tab/>
      </w:r>
      <w:r>
        <w:rPr>
          <w:u w:val="single"/>
        </w:rPr>
        <w:t>Decision Making and Forecasting</w:t>
      </w:r>
      <w:r>
        <w:t>, Marshall and Oliver, 1995</w:t>
      </w:r>
    </w:p>
    <w:p w:rsidR="00CE3109" w:rsidRDefault="00CE3109">
      <w:pPr>
        <w:rPr>
          <w:sz w:val="20"/>
        </w:rPr>
      </w:pPr>
    </w:p>
    <w:p w:rsidR="00CE3109" w:rsidRDefault="00CE3109">
      <w:r>
        <w:t>Software:</w:t>
      </w:r>
      <w:r>
        <w:tab/>
      </w:r>
      <w:r>
        <w:tab/>
        <w:t>Microsoft EXCEL or other spreadsheet</w:t>
      </w:r>
    </w:p>
    <w:p w:rsidR="00CE3109" w:rsidRDefault="00CE3109">
      <w:pPr>
        <w:rPr>
          <w:sz w:val="22"/>
          <w:szCs w:val="22"/>
        </w:rPr>
      </w:pPr>
    </w:p>
    <w:p w:rsidR="00CE3109" w:rsidRDefault="00CE3109">
      <w:pPr>
        <w:ind w:left="2160" w:hanging="2160"/>
      </w:pPr>
      <w:r>
        <w:t>Prerequisite:</w:t>
      </w:r>
      <w:r>
        <w:tab/>
      </w:r>
      <w:r w:rsidR="003B74AD">
        <w:t>IE 2308 and CE 3301 or IE 3301 or equivalent, or consent of instructor.</w:t>
      </w:r>
      <w:r>
        <w:t xml:space="preserve"> </w:t>
      </w:r>
    </w:p>
    <w:p w:rsidR="00CE3109" w:rsidRDefault="00CE3109">
      <w:pPr>
        <w:rPr>
          <w:sz w:val="20"/>
        </w:rPr>
      </w:pPr>
    </w:p>
    <w:p w:rsidR="00CE3109" w:rsidRDefault="00CE3109">
      <w:r>
        <w:t>Grades:</w:t>
      </w:r>
      <w:r>
        <w:tab/>
      </w:r>
      <w:r>
        <w:tab/>
        <w:t>Home/Class Assignments</w:t>
      </w:r>
      <w:r>
        <w:tab/>
      </w:r>
      <w:r>
        <w:tab/>
      </w:r>
      <w:r>
        <w:tab/>
        <w:t>20%</w:t>
      </w:r>
    </w:p>
    <w:p w:rsidR="00CE3109" w:rsidRDefault="00CE3109">
      <w:r>
        <w:tab/>
      </w:r>
      <w:r>
        <w:tab/>
      </w:r>
      <w:r>
        <w:tab/>
        <w:t>Mid-Term</w:t>
      </w:r>
      <w:r>
        <w:tab/>
      </w:r>
      <w:r>
        <w:tab/>
      </w:r>
      <w:r>
        <w:tab/>
      </w:r>
      <w:r>
        <w:tab/>
      </w:r>
      <w:r>
        <w:tab/>
        <w:t>1</w:t>
      </w:r>
      <w:r w:rsidR="00C079F3">
        <w:t>8</w:t>
      </w:r>
      <w:r>
        <w:t>%</w:t>
      </w:r>
    </w:p>
    <w:p w:rsidR="00CE3109" w:rsidRDefault="00CE3109">
      <w:r>
        <w:tab/>
      </w:r>
      <w:r>
        <w:tab/>
      </w:r>
      <w:r>
        <w:tab/>
        <w:t>Projects</w:t>
      </w:r>
      <w:r>
        <w:tab/>
      </w:r>
      <w:r>
        <w:tab/>
      </w:r>
      <w:r>
        <w:tab/>
      </w:r>
      <w:r>
        <w:tab/>
      </w:r>
      <w:r>
        <w:tab/>
      </w:r>
      <w:r w:rsidR="0069725E">
        <w:t>24</w:t>
      </w:r>
      <w:r>
        <w:t>%</w:t>
      </w:r>
    </w:p>
    <w:p w:rsidR="00CE3109" w:rsidRDefault="00CE3109">
      <w:r>
        <w:tab/>
      </w:r>
      <w:r>
        <w:tab/>
      </w:r>
      <w:r>
        <w:tab/>
      </w:r>
      <w:r w:rsidR="0069725E">
        <w:t>Presentation</w:t>
      </w:r>
      <w:r w:rsidR="00C079F3">
        <w:t>s</w:t>
      </w:r>
      <w:r>
        <w:tab/>
      </w:r>
      <w:r>
        <w:tab/>
      </w:r>
      <w:r>
        <w:tab/>
      </w:r>
      <w:r>
        <w:tab/>
      </w:r>
      <w:r>
        <w:tab/>
      </w:r>
      <w:r w:rsidR="00C079F3">
        <w:t>8</w:t>
      </w:r>
      <w:r>
        <w:t>%</w:t>
      </w:r>
    </w:p>
    <w:p w:rsidR="00CE3109" w:rsidRDefault="00CE3109">
      <w:pPr>
        <w:ind w:left="2160" w:hanging="2160"/>
      </w:pPr>
      <w:r>
        <w:tab/>
        <w:t>Final</w:t>
      </w:r>
      <w:r>
        <w:tab/>
      </w:r>
      <w:r>
        <w:tab/>
      </w:r>
      <w:r>
        <w:tab/>
      </w:r>
      <w:r>
        <w:tab/>
      </w:r>
      <w:r>
        <w:tab/>
      </w:r>
      <w:r>
        <w:tab/>
      </w:r>
      <w:r w:rsidR="0069725E">
        <w:t>3</w:t>
      </w:r>
      <w:r w:rsidR="00C079F3">
        <w:t>0</w:t>
      </w:r>
      <w:r>
        <w:t>%</w:t>
      </w:r>
    </w:p>
    <w:p w:rsidR="00CE3109" w:rsidRDefault="00CE3109">
      <w:pPr>
        <w:ind w:left="2160" w:hanging="2160"/>
        <w:rPr>
          <w:sz w:val="20"/>
        </w:rPr>
      </w:pPr>
    </w:p>
    <w:p w:rsidR="00CE3109" w:rsidRDefault="00CE3109">
      <w:pPr>
        <w:ind w:left="2160" w:hanging="2160"/>
      </w:pPr>
      <w:r>
        <w:t>Course Context:</w:t>
      </w:r>
      <w:r>
        <w:tab/>
        <w:t xml:space="preserve">Most civil engineers must make decisions in their career, but they receive little formal training on proper decision-making techniques.  This course will address both the frequently applied cost-benefit analysis techniques and the more theoretically appealing </w:t>
      </w:r>
      <w:proofErr w:type="spellStart"/>
      <w:r>
        <w:t>multicriteria</w:t>
      </w:r>
      <w:proofErr w:type="spellEnd"/>
      <w:r>
        <w:t xml:space="preserve"> decision techniques.</w:t>
      </w:r>
    </w:p>
    <w:p w:rsidR="00CE3109" w:rsidRDefault="00CE3109">
      <w:pPr>
        <w:rPr>
          <w:sz w:val="20"/>
        </w:rPr>
      </w:pPr>
    </w:p>
    <w:p w:rsidR="00CE3109" w:rsidRDefault="00CE3109">
      <w:r>
        <w:t>Course Goals:</w:t>
      </w:r>
      <w:r>
        <w:tab/>
      </w:r>
      <w:r>
        <w:tab/>
      </w:r>
    </w:p>
    <w:p w:rsidR="00CE3109" w:rsidRDefault="00CE3109">
      <w:pPr>
        <w:numPr>
          <w:ilvl w:val="0"/>
          <w:numId w:val="7"/>
        </w:numPr>
        <w:tabs>
          <w:tab w:val="clear" w:pos="720"/>
        </w:tabs>
        <w:ind w:left="2700"/>
      </w:pPr>
      <w:r>
        <w:t>Develop decision-making skills and expertise (Advanced Knowledge)</w:t>
      </w:r>
    </w:p>
    <w:p w:rsidR="00CE3109" w:rsidRDefault="00CE3109">
      <w:pPr>
        <w:numPr>
          <w:ilvl w:val="0"/>
          <w:numId w:val="7"/>
        </w:numPr>
        <w:tabs>
          <w:tab w:val="clear" w:pos="720"/>
        </w:tabs>
        <w:ind w:left="2700"/>
      </w:pPr>
      <w:r>
        <w:t>Identify decision-making applications (Advanced Knowledge)</w:t>
      </w:r>
    </w:p>
    <w:p w:rsidR="00CE3109" w:rsidRDefault="00CE3109">
      <w:pPr>
        <w:numPr>
          <w:ilvl w:val="0"/>
          <w:numId w:val="7"/>
        </w:numPr>
        <w:tabs>
          <w:tab w:val="clear" w:pos="720"/>
        </w:tabs>
        <w:ind w:left="2700"/>
      </w:pPr>
      <w:r>
        <w:t>Improve writing and presentation skills (Effective Communication)</w:t>
      </w:r>
    </w:p>
    <w:p w:rsidR="00CE3109" w:rsidRDefault="00CE3109">
      <w:pPr>
        <w:numPr>
          <w:ilvl w:val="0"/>
          <w:numId w:val="7"/>
        </w:numPr>
        <w:tabs>
          <w:tab w:val="clear" w:pos="720"/>
        </w:tabs>
        <w:ind w:left="2700"/>
      </w:pPr>
      <w:r>
        <w:t xml:space="preserve">Introduce students to transportation research and the critical analysis of journal articles (Critical Thinking/Independent Abilities) </w:t>
      </w:r>
    </w:p>
    <w:p w:rsidR="00CE3109" w:rsidRDefault="00CE3109">
      <w:pPr>
        <w:spacing w:after="120"/>
        <w:jc w:val="center"/>
        <w:rPr>
          <w:b/>
          <w:sz w:val="28"/>
        </w:rPr>
      </w:pPr>
      <w:r>
        <w:br w:type="page"/>
      </w:r>
      <w:r w:rsidRPr="006B1107">
        <w:rPr>
          <w:b/>
          <w:sz w:val="28"/>
        </w:rPr>
        <w:lastRenderedPageBreak/>
        <w:t xml:space="preserve">CE </w:t>
      </w:r>
      <w:r w:rsidR="0069725E" w:rsidRPr="006B1107">
        <w:rPr>
          <w:b/>
          <w:sz w:val="28"/>
        </w:rPr>
        <w:t>4310</w:t>
      </w:r>
      <w:r w:rsidRPr="006B1107">
        <w:rPr>
          <w:b/>
          <w:sz w:val="28"/>
        </w:rPr>
        <w:t xml:space="preserve"> Schedule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9"/>
        <w:gridCol w:w="3777"/>
        <w:gridCol w:w="1440"/>
        <w:gridCol w:w="2613"/>
      </w:tblGrid>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pStyle w:val="Heading1"/>
              <w:jc w:val="left"/>
            </w:pPr>
            <w:r>
              <w:t>Date</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jc w:val="center"/>
              <w:rPr>
                <w:b/>
              </w:rPr>
            </w:pPr>
            <w:r>
              <w:rPr>
                <w:b/>
              </w:rPr>
              <w:t>Topic</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pStyle w:val="Heading1"/>
            </w:pPr>
            <w:r>
              <w:t xml:space="preserve">Text </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jc w:val="center"/>
              <w:rPr>
                <w:b/>
              </w:rPr>
            </w:pPr>
            <w:r>
              <w:rPr>
                <w:b/>
              </w:rPr>
              <w:t>Assignment Due</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Jan 17</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Intro, Decision-making</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Jan 22</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FLIP: Basic Tools for Economic Appraisal</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2</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Jan 24</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18"/>
                <w:szCs w:val="18"/>
              </w:rPr>
              <w:t>FLIP: Present Worth</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3</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Jan 29</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18"/>
                <w:szCs w:val="18"/>
              </w:rPr>
            </w:pPr>
            <w:r>
              <w:rPr>
                <w:sz w:val="18"/>
                <w:szCs w:val="18"/>
              </w:rPr>
              <w:t>FLIP: Equivalent Annual Worth</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4</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b/>
                <w:sz w:val="20"/>
              </w:rPr>
              <w:t>Proposal 1 Due</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Jan 31</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FLIP: Rate of Return, B/C Ratio</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5</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Feb 5</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B/C Ratio</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6</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b/>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Feb 7</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Cost Benefit Analysis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7</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18"/>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Feb 12</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Cost Benefit Analysis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7</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18"/>
              </w:rPr>
            </w:pPr>
            <w:r>
              <w:rPr>
                <w:b/>
                <w:sz w:val="20"/>
              </w:rPr>
              <w:t>1:</w:t>
            </w:r>
            <w:r>
              <w:rPr>
                <w:sz w:val="20"/>
              </w:rPr>
              <w:t xml:space="preserve"> Handout Chapters 2-5</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Feb 14</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Applications &amp; Research</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8?</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18"/>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Feb 19</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Applications &amp; Research</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8?</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18"/>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Feb 21</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Risk Analysis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Notes</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18"/>
              </w:rPr>
            </w:pPr>
            <w:r>
              <w:rPr>
                <w:b/>
                <w:sz w:val="18"/>
              </w:rPr>
              <w:t xml:space="preserve">2: </w:t>
            </w:r>
            <w:r>
              <w:rPr>
                <w:sz w:val="18"/>
              </w:rPr>
              <w:t>Handout Chapter 6-7</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Feb 26</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Risk Analysis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Notes</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18"/>
              </w:rPr>
            </w:pPr>
          </w:p>
        </w:tc>
      </w:tr>
      <w:tr w:rsidR="006B1107" w:rsidTr="006B1107">
        <w:trPr>
          <w:jc w:val="center"/>
        </w:trPr>
        <w:tc>
          <w:tcPr>
            <w:tcW w:w="909" w:type="dxa"/>
            <w:tcBorders>
              <w:top w:val="single" w:sz="6" w:space="0" w:color="auto"/>
              <w:left w:val="single" w:sz="6" w:space="0" w:color="auto"/>
              <w:bottom w:val="single" w:sz="24" w:space="0" w:color="auto"/>
              <w:right w:val="single" w:sz="6" w:space="0" w:color="auto"/>
            </w:tcBorders>
            <w:hideMark/>
          </w:tcPr>
          <w:p w:rsidR="006B1107" w:rsidRDefault="006B1107">
            <w:pPr>
              <w:spacing w:after="60"/>
              <w:rPr>
                <w:sz w:val="20"/>
              </w:rPr>
            </w:pPr>
            <w:r>
              <w:rPr>
                <w:sz w:val="20"/>
              </w:rPr>
              <w:t>Feb 28</w:t>
            </w:r>
          </w:p>
        </w:tc>
        <w:tc>
          <w:tcPr>
            <w:tcW w:w="3777" w:type="dxa"/>
            <w:tcBorders>
              <w:top w:val="single" w:sz="6" w:space="0" w:color="auto"/>
              <w:left w:val="single" w:sz="6" w:space="0" w:color="auto"/>
              <w:bottom w:val="single" w:sz="24" w:space="0" w:color="auto"/>
              <w:right w:val="single" w:sz="6" w:space="0" w:color="auto"/>
            </w:tcBorders>
            <w:hideMark/>
          </w:tcPr>
          <w:p w:rsidR="006B1107" w:rsidRDefault="006B1107">
            <w:pPr>
              <w:spacing w:line="360" w:lineRule="auto"/>
              <w:rPr>
                <w:sz w:val="20"/>
              </w:rPr>
            </w:pPr>
            <w:r>
              <w:rPr>
                <w:sz w:val="20"/>
              </w:rPr>
              <w:t>Presentations</w:t>
            </w:r>
          </w:p>
        </w:tc>
        <w:tc>
          <w:tcPr>
            <w:tcW w:w="1440" w:type="dxa"/>
            <w:tcBorders>
              <w:top w:val="single" w:sz="6" w:space="0" w:color="auto"/>
              <w:left w:val="single" w:sz="6" w:space="0" w:color="auto"/>
              <w:bottom w:val="single" w:sz="24" w:space="0" w:color="auto"/>
              <w:right w:val="single" w:sz="6" w:space="0" w:color="auto"/>
            </w:tcBorders>
          </w:tcPr>
          <w:p w:rsidR="006B1107" w:rsidRDefault="006B1107">
            <w:pPr>
              <w:spacing w:line="360" w:lineRule="auto"/>
              <w:jc w:val="center"/>
              <w:rPr>
                <w:sz w:val="20"/>
              </w:rPr>
            </w:pPr>
          </w:p>
        </w:tc>
        <w:tc>
          <w:tcPr>
            <w:tcW w:w="2613" w:type="dxa"/>
            <w:tcBorders>
              <w:top w:val="single" w:sz="6" w:space="0" w:color="auto"/>
              <w:left w:val="single" w:sz="6" w:space="0" w:color="auto"/>
              <w:bottom w:val="single" w:sz="24" w:space="0" w:color="auto"/>
              <w:right w:val="single" w:sz="6" w:space="0" w:color="auto"/>
            </w:tcBorders>
          </w:tcPr>
          <w:p w:rsidR="006B1107" w:rsidRDefault="006B1107">
            <w:pPr>
              <w:spacing w:line="360" w:lineRule="auto"/>
              <w:jc w:val="center"/>
              <w:rPr>
                <w:sz w:val="18"/>
              </w:rPr>
            </w:pPr>
          </w:p>
        </w:tc>
      </w:tr>
      <w:tr w:rsidR="006B1107" w:rsidTr="006B1107">
        <w:trPr>
          <w:jc w:val="center"/>
        </w:trPr>
        <w:tc>
          <w:tcPr>
            <w:tcW w:w="909" w:type="dxa"/>
            <w:tcBorders>
              <w:top w:val="single" w:sz="24"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Mar 5</w:t>
            </w:r>
          </w:p>
        </w:tc>
        <w:tc>
          <w:tcPr>
            <w:tcW w:w="3777" w:type="dxa"/>
            <w:tcBorders>
              <w:top w:val="single" w:sz="24"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Presentations</w:t>
            </w:r>
          </w:p>
        </w:tc>
        <w:tc>
          <w:tcPr>
            <w:tcW w:w="1440" w:type="dxa"/>
            <w:tcBorders>
              <w:top w:val="single" w:sz="24"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c>
          <w:tcPr>
            <w:tcW w:w="2613" w:type="dxa"/>
            <w:tcBorders>
              <w:top w:val="single" w:sz="24" w:space="0" w:color="auto"/>
              <w:left w:val="single" w:sz="6" w:space="0" w:color="auto"/>
              <w:bottom w:val="single" w:sz="6" w:space="0" w:color="auto"/>
              <w:right w:val="single" w:sz="6" w:space="0" w:color="auto"/>
            </w:tcBorders>
            <w:hideMark/>
          </w:tcPr>
          <w:p w:rsidR="006B1107" w:rsidRDefault="006B1107">
            <w:pPr>
              <w:spacing w:line="360" w:lineRule="auto"/>
              <w:jc w:val="center"/>
              <w:rPr>
                <w:sz w:val="18"/>
              </w:rPr>
            </w:pPr>
            <w:r>
              <w:rPr>
                <w:b/>
                <w:sz w:val="20"/>
              </w:rPr>
              <w:t>First Project Due</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Mar 7</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pStyle w:val="Heading3"/>
            </w:pPr>
            <w:r>
              <w:t>Midterm</w:t>
            </w:r>
          </w:p>
        </w:tc>
        <w:tc>
          <w:tcPr>
            <w:tcW w:w="1440"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b/>
                <w:sz w:val="18"/>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Mar 12</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SPRING BREAK</w:t>
            </w:r>
          </w:p>
        </w:tc>
        <w:tc>
          <w:tcPr>
            <w:tcW w:w="1440"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18"/>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Mar 14</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SPRING BREAK</w:t>
            </w:r>
          </w:p>
        </w:tc>
        <w:tc>
          <w:tcPr>
            <w:tcW w:w="1440"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18"/>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Mar 19</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proofErr w:type="spellStart"/>
            <w:r>
              <w:rPr>
                <w:sz w:val="20"/>
              </w:rPr>
              <w:t>Multicriteria</w:t>
            </w:r>
            <w:proofErr w:type="spellEnd"/>
            <w:r>
              <w:rPr>
                <w:sz w:val="20"/>
              </w:rPr>
              <w:t xml:space="preserve"> Analysis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11</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b/>
                <w:sz w:val="18"/>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Mar 21</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Simple Additive Model</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12</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18"/>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Mar 26</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Simple Additive Model</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12</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16"/>
              </w:rPr>
            </w:pPr>
            <w:r>
              <w:rPr>
                <w:b/>
                <w:sz w:val="18"/>
              </w:rPr>
              <w:t>3:</w:t>
            </w:r>
            <w:r>
              <w:rPr>
                <w:sz w:val="18"/>
              </w:rPr>
              <w:t xml:space="preserve"> Discussion Paper</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60"/>
              <w:rPr>
                <w:sz w:val="20"/>
              </w:rPr>
            </w:pPr>
            <w:r>
              <w:rPr>
                <w:sz w:val="20"/>
              </w:rPr>
              <w:t>Mar 28</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Simple Additive Model</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12</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b/>
                <w:sz w:val="20"/>
              </w:rPr>
              <w:t>Proposal 2 Due</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Mar 30</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b/>
                <w:sz w:val="20"/>
              </w:rPr>
              <w:t>Last Day to Drop Class</w:t>
            </w:r>
          </w:p>
        </w:tc>
        <w:tc>
          <w:tcPr>
            <w:tcW w:w="1440"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2</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Analytic Hierarchy Process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13</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4</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Analytic Hierarchy Process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13</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b/>
                <w:sz w:val="18"/>
              </w:rPr>
              <w:t>4:</w:t>
            </w:r>
            <w:r>
              <w:rPr>
                <w:sz w:val="18"/>
              </w:rPr>
              <w:t xml:space="preserve"> Handout Chapter 10</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9</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Analytic Hierarchy Process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13</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11</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Concordance Techniques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14</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b/>
                <w:sz w:val="20"/>
              </w:rPr>
              <w:t>5:</w:t>
            </w:r>
            <w:r>
              <w:rPr>
                <w:sz w:val="20"/>
              </w:rPr>
              <w:t xml:space="preserve"> </w:t>
            </w:r>
            <w:r>
              <w:rPr>
                <w:sz w:val="18"/>
              </w:rPr>
              <w:t>Handout Chapter 11</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16</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Concordance Techniques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14</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18</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Concordance Techniques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Chapter 14</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23</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Contemporary Topics</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Notes</w:t>
            </w: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25</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TBD</w:t>
            </w:r>
          </w:p>
        </w:tc>
        <w:tc>
          <w:tcPr>
            <w:tcW w:w="1440"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b/>
                <w:sz w:val="20"/>
              </w:rPr>
              <w:t>6:</w:t>
            </w:r>
            <w:r>
              <w:rPr>
                <w:sz w:val="20"/>
              </w:rPr>
              <w:t xml:space="preserve"> </w:t>
            </w:r>
            <w:r>
              <w:rPr>
                <w:sz w:val="18"/>
              </w:rPr>
              <w:t>Handout Chapter 12</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Apr 30</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Presentations</w:t>
            </w:r>
          </w:p>
        </w:tc>
        <w:tc>
          <w:tcPr>
            <w:tcW w:w="1440"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pPr>
              <w:spacing w:after="40"/>
              <w:rPr>
                <w:sz w:val="20"/>
              </w:rPr>
            </w:pPr>
            <w:r>
              <w:rPr>
                <w:sz w:val="20"/>
              </w:rPr>
              <w:t>May 2</w:t>
            </w:r>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Presentations</w:t>
            </w:r>
          </w:p>
        </w:tc>
        <w:tc>
          <w:tcPr>
            <w:tcW w:w="1440" w:type="dxa"/>
            <w:tcBorders>
              <w:top w:val="single" w:sz="6" w:space="0" w:color="auto"/>
              <w:left w:val="single" w:sz="6" w:space="0" w:color="auto"/>
              <w:bottom w:val="single" w:sz="6" w:space="0" w:color="auto"/>
              <w:right w:val="single" w:sz="6" w:space="0" w:color="auto"/>
            </w:tcBorders>
          </w:tcPr>
          <w:p w:rsidR="006B1107" w:rsidRDefault="006B1107">
            <w:pPr>
              <w:spacing w:line="360" w:lineRule="auto"/>
              <w:jc w:val="center"/>
              <w:rPr>
                <w:sz w:val="20"/>
              </w:rPr>
            </w:pP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b/>
                <w:sz w:val="20"/>
              </w:rPr>
              <w:t>Second Project Due</w:t>
            </w:r>
          </w:p>
        </w:tc>
      </w:tr>
      <w:tr w:rsidR="006B1107" w:rsidTr="006B1107">
        <w:trPr>
          <w:jc w:val="center"/>
        </w:trPr>
        <w:tc>
          <w:tcPr>
            <w:tcW w:w="909" w:type="dxa"/>
            <w:tcBorders>
              <w:top w:val="single" w:sz="6" w:space="0" w:color="auto"/>
              <w:left w:val="single" w:sz="6" w:space="0" w:color="auto"/>
              <w:bottom w:val="single" w:sz="6" w:space="0" w:color="auto"/>
              <w:right w:val="single" w:sz="6" w:space="0" w:color="auto"/>
            </w:tcBorders>
            <w:hideMark/>
          </w:tcPr>
          <w:p w:rsidR="006B1107" w:rsidRDefault="006B1107" w:rsidP="007F1B20">
            <w:pPr>
              <w:spacing w:after="40"/>
              <w:rPr>
                <w:sz w:val="20"/>
              </w:rPr>
            </w:pPr>
            <w:r>
              <w:rPr>
                <w:sz w:val="20"/>
              </w:rPr>
              <w:t xml:space="preserve">May </w:t>
            </w:r>
            <w:r w:rsidR="007F1B20">
              <w:rPr>
                <w:sz w:val="20"/>
              </w:rPr>
              <w:t>8</w:t>
            </w:r>
            <w:bookmarkStart w:id="0" w:name="_GoBack"/>
            <w:bookmarkEnd w:id="0"/>
          </w:p>
        </w:tc>
        <w:tc>
          <w:tcPr>
            <w:tcW w:w="3777"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rPr>
                <w:sz w:val="20"/>
              </w:rPr>
            </w:pPr>
            <w:r>
              <w:rPr>
                <w:sz w:val="20"/>
              </w:rPr>
              <w:t>Final, 2 – 4:30 pm</w:t>
            </w:r>
          </w:p>
        </w:tc>
        <w:tc>
          <w:tcPr>
            <w:tcW w:w="1440"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sz w:val="20"/>
              </w:rPr>
              <w:t>Final</w:t>
            </w:r>
          </w:p>
        </w:tc>
        <w:tc>
          <w:tcPr>
            <w:tcW w:w="2613" w:type="dxa"/>
            <w:tcBorders>
              <w:top w:val="single" w:sz="6" w:space="0" w:color="auto"/>
              <w:left w:val="single" w:sz="6" w:space="0" w:color="auto"/>
              <w:bottom w:val="single" w:sz="6" w:space="0" w:color="auto"/>
              <w:right w:val="single" w:sz="6" w:space="0" w:color="auto"/>
            </w:tcBorders>
            <w:hideMark/>
          </w:tcPr>
          <w:p w:rsidR="006B1107" w:rsidRDefault="006B1107">
            <w:pPr>
              <w:spacing w:line="360" w:lineRule="auto"/>
              <w:jc w:val="center"/>
              <w:rPr>
                <w:sz w:val="20"/>
              </w:rPr>
            </w:pPr>
            <w:r>
              <w:rPr>
                <w:b/>
                <w:sz w:val="18"/>
              </w:rPr>
              <w:t>7:</w:t>
            </w:r>
            <w:r>
              <w:rPr>
                <w:sz w:val="18"/>
              </w:rPr>
              <w:t xml:space="preserve"> Discussion Paper 2</w:t>
            </w:r>
          </w:p>
        </w:tc>
      </w:tr>
    </w:tbl>
    <w:p w:rsidR="00E303A3" w:rsidRDefault="00CE3109" w:rsidP="00E303A3">
      <w:pPr>
        <w:rPr>
          <w:i/>
          <w:szCs w:val="24"/>
        </w:rPr>
      </w:pPr>
      <w:r>
        <w:rPr>
          <w:b/>
        </w:rPr>
        <w:br w:type="page"/>
      </w:r>
      <w:r w:rsidR="00E303A3">
        <w:rPr>
          <w:i/>
          <w:szCs w:val="24"/>
        </w:rPr>
        <w:lastRenderedPageBreak/>
        <w:t>As the instructor for this course, I reserve the right to adjust this schedule in any way that serves the educational needs of the students enrolled in this course. –Stephen P. Mattingly.</w:t>
      </w:r>
    </w:p>
    <w:p w:rsidR="00E303A3" w:rsidRDefault="00E303A3" w:rsidP="00E303A3">
      <w:pPr>
        <w:rPr>
          <w:i/>
          <w:szCs w:val="24"/>
        </w:rPr>
      </w:pPr>
    </w:p>
    <w:p w:rsidR="00CE3109" w:rsidRDefault="00CE3109">
      <w:pPr>
        <w:rPr>
          <w:b/>
        </w:rPr>
      </w:pPr>
      <w:r>
        <w:rPr>
          <w:b/>
        </w:rPr>
        <w:t>Course Content</w:t>
      </w:r>
    </w:p>
    <w:p w:rsidR="00CE3109" w:rsidRDefault="00CE3109">
      <w:r>
        <w:rPr>
          <w:b/>
        </w:rPr>
        <w:tab/>
      </w:r>
      <w:r>
        <w:t>The course covers techniques necessary to perform economic and multi-criteria evaluations of civil engineering projects. These will be used to assess the strengths and weaknesses of different decision-making strategies and analyze contemporary topics and case studies in making civil engineering decisions.</w:t>
      </w:r>
    </w:p>
    <w:p w:rsidR="00CE3109" w:rsidRDefault="00CE3109">
      <w:pPr>
        <w:rPr>
          <w:b/>
        </w:rPr>
      </w:pPr>
    </w:p>
    <w:p w:rsidR="00CE3109" w:rsidRDefault="00CE3109">
      <w:pPr>
        <w:rPr>
          <w:b/>
        </w:rPr>
      </w:pPr>
      <w:r>
        <w:rPr>
          <w:b/>
        </w:rPr>
        <w:t>Homework</w:t>
      </w:r>
    </w:p>
    <w:p w:rsidR="00CE3109" w:rsidRDefault="00CE3109">
      <w:r>
        <w:rPr>
          <w:b/>
        </w:rPr>
        <w:tab/>
      </w:r>
      <w:r>
        <w:t xml:space="preserve">The homework should be submitted on the day that it is due.  I need the homework turned in by this date so that I can return the solutions to you at the next class.  If you are unable to attend class, please submit your homework via fax or e-mail.  If the homework is not submitted the maximum score will degrade in the following manner with each deduction associated with class meetings (90%, 70%, </w:t>
      </w:r>
      <w:proofErr w:type="gramStart"/>
      <w:r>
        <w:t>40</w:t>
      </w:r>
      <w:proofErr w:type="gramEnd"/>
      <w:r>
        <w:t>%).</w:t>
      </w:r>
    </w:p>
    <w:p w:rsidR="00CE3109" w:rsidRDefault="00CE3109"/>
    <w:p w:rsidR="00CE3109" w:rsidRDefault="00CE3109">
      <w:pPr>
        <w:pStyle w:val="Heading2"/>
      </w:pPr>
      <w:r>
        <w:t xml:space="preserve">Project </w:t>
      </w:r>
    </w:p>
    <w:p w:rsidR="00CE3109" w:rsidRDefault="00CE3109">
      <w:pPr>
        <w:pStyle w:val="Heading2"/>
        <w:ind w:firstLine="720"/>
        <w:rPr>
          <w:b w:val="0"/>
        </w:rPr>
      </w:pPr>
      <w:r>
        <w:rPr>
          <w:b w:val="0"/>
        </w:rPr>
        <w:t>For each general topic, a two person group student will select one of the following options:</w:t>
      </w:r>
    </w:p>
    <w:p w:rsidR="00CE3109" w:rsidRDefault="00CE3109">
      <w:pPr>
        <w:pStyle w:val="Heading2"/>
        <w:numPr>
          <w:ilvl w:val="0"/>
          <w:numId w:val="8"/>
        </w:numPr>
        <w:rPr>
          <w:b w:val="0"/>
        </w:rPr>
      </w:pPr>
      <w:r>
        <w:rPr>
          <w:b w:val="0"/>
        </w:rPr>
        <w:t>Choose two papers and critically analyze and compare and contrast them.</w:t>
      </w:r>
    </w:p>
    <w:p w:rsidR="00CE3109" w:rsidRDefault="00CE3109">
      <w:pPr>
        <w:numPr>
          <w:ilvl w:val="0"/>
          <w:numId w:val="8"/>
        </w:numPr>
      </w:pPr>
      <w:r>
        <w:t>Apply one of the techniques from class for a decision-making problem of your choosing or creation.</w:t>
      </w:r>
    </w:p>
    <w:p w:rsidR="00CE3109" w:rsidRDefault="00CE3109">
      <w:pPr>
        <w:numPr>
          <w:ilvl w:val="0"/>
          <w:numId w:val="8"/>
        </w:numPr>
      </w:pPr>
      <w:r>
        <w:t>Choose a single paper and apply a decision-making technique from the class to the problem described in the paper.  Compare and contrast the different results and make a critical assessment of the preferred strategy.</w:t>
      </w:r>
    </w:p>
    <w:p w:rsidR="00CE3109" w:rsidRDefault="00CE3109">
      <w:pPr>
        <w:pStyle w:val="Heading2"/>
      </w:pPr>
    </w:p>
    <w:p w:rsidR="00CE3109" w:rsidRDefault="00CE3109" w:rsidP="001F3333">
      <w:pPr>
        <w:spacing w:after="120"/>
      </w:pPr>
      <w:r>
        <w:t>Each group must submit a proposal paragraph, which identifies the general approach that the group will use.  A paper should be identified or the case study decision problem should be described.  The project will be graded on difficulty, presentation, and content.</w:t>
      </w:r>
    </w:p>
    <w:p w:rsidR="00CE3109" w:rsidRDefault="00CE3109">
      <w:pPr>
        <w:pStyle w:val="Heading2"/>
      </w:pPr>
      <w:r>
        <w:t>Presentations</w:t>
      </w:r>
    </w:p>
    <w:p w:rsidR="00CE3109" w:rsidRDefault="00CE3109">
      <w:r>
        <w:tab/>
        <w:t>Each group should make a presentation of their project for 20 minutes with another 10 minutes for questions and discussion.  You should be able to answer any questions from the audience.  Presentations will be graded on quality, difficulty, discussion and timeliness.</w:t>
      </w:r>
    </w:p>
    <w:p w:rsidR="00CE3109" w:rsidRDefault="00CE3109"/>
    <w:p w:rsidR="00CE3109" w:rsidRDefault="00CE3109">
      <w:pPr>
        <w:rPr>
          <w:b/>
        </w:rPr>
      </w:pPr>
      <w:r>
        <w:rPr>
          <w:b/>
        </w:rPr>
        <w:t>Expectations</w:t>
      </w:r>
    </w:p>
    <w:p w:rsidR="00CE3109" w:rsidRDefault="00CE3109">
      <w:pPr>
        <w:ind w:firstLine="720"/>
      </w:pPr>
      <w:r>
        <w:t xml:space="preserve">Any of the topics covered during the in class presentations or supplementary application and research lectures may be addressed during the final or mid-term.  You should also be able to participate in any discussions associated with the presentations. </w:t>
      </w:r>
    </w:p>
    <w:p w:rsidR="00CE3109" w:rsidRDefault="00CE3109"/>
    <w:p w:rsidR="00CE3109" w:rsidRDefault="00CE3109">
      <w:pPr>
        <w:rPr>
          <w:b/>
        </w:rPr>
      </w:pPr>
      <w:r>
        <w:rPr>
          <w:b/>
        </w:rPr>
        <w:t>Missed Exams</w:t>
      </w:r>
    </w:p>
    <w:p w:rsidR="00CE3109" w:rsidRDefault="00CE3109">
      <w:r>
        <w:tab/>
        <w:t>All missed exams will be handled at the instructor’s discretion.</w:t>
      </w:r>
    </w:p>
    <w:p w:rsidR="00CE3109" w:rsidRDefault="00CE3109">
      <w:pPr>
        <w:jc w:val="center"/>
        <w:rPr>
          <w:b/>
        </w:rPr>
      </w:pPr>
    </w:p>
    <w:p w:rsidR="00CE3109" w:rsidRDefault="00CE3109">
      <w:pPr>
        <w:pStyle w:val="Heading2"/>
      </w:pPr>
      <w:r>
        <w:t>Mid-term and Final (open and closed book)</w:t>
      </w:r>
    </w:p>
    <w:p w:rsidR="00CE3109" w:rsidRDefault="00CE3109">
      <w:r>
        <w:tab/>
        <w:t xml:space="preserve">The mid-term will last one and a half hours and the final will both last two and a half hours and the final will cover the entire course.  All of the problem solving will be open book while other portions of the test will be closed book.  </w:t>
      </w:r>
    </w:p>
    <w:p w:rsidR="00CE3109" w:rsidRDefault="00CE3109">
      <w:pPr>
        <w:ind w:right="720"/>
        <w:jc w:val="both"/>
      </w:pPr>
      <w:r>
        <w:rPr>
          <w:b/>
        </w:rPr>
        <w:br w:type="page"/>
      </w:r>
      <w:r>
        <w:rPr>
          <w:b/>
        </w:rPr>
        <w:lastRenderedPageBreak/>
        <w:t>Reading List</w:t>
      </w:r>
    </w:p>
    <w:p w:rsidR="00CE3109" w:rsidRDefault="00CE3109">
      <w:pPr>
        <w:ind w:right="720"/>
        <w:jc w:val="both"/>
      </w:pPr>
    </w:p>
    <w:p w:rsidR="00FA4779" w:rsidRDefault="00FA4779" w:rsidP="00FA4779">
      <w:pPr>
        <w:rPr>
          <w:szCs w:val="24"/>
        </w:rPr>
      </w:pPr>
      <w:r>
        <w:rPr>
          <w:b/>
          <w:szCs w:val="24"/>
        </w:rPr>
        <w:t xml:space="preserve">Attendance: </w:t>
      </w:r>
      <w:r>
        <w:rPr>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allow students to attend class at their own discretion; however, there will be a few unannounced quizzes held during class throughout the semester.</w:t>
      </w:r>
      <w:r>
        <w:rPr>
          <w:b/>
          <w:szCs w:val="24"/>
        </w:rPr>
        <w:t xml:space="preserve"> </w:t>
      </w:r>
      <w:r>
        <w:rPr>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128E6" w:rsidRDefault="005128E6" w:rsidP="005128E6">
      <w:pPr>
        <w:rPr>
          <w:b/>
          <w:szCs w:val="24"/>
        </w:rPr>
      </w:pPr>
    </w:p>
    <w:p w:rsidR="005128E6" w:rsidRDefault="005128E6" w:rsidP="001F3333">
      <w:pPr>
        <w:rPr>
          <w:szCs w:val="24"/>
        </w:rPr>
      </w:pPr>
      <w:r>
        <w:rPr>
          <w:b/>
          <w:bCs/>
          <w:szCs w:val="24"/>
        </w:rPr>
        <w:t>Emergency Exit Procedures:</w:t>
      </w:r>
      <w:r>
        <w:rPr>
          <w:bCs/>
          <w:szCs w:val="24"/>
        </w:rPr>
        <w:t xml:space="preserve"> </w:t>
      </w:r>
      <w:r w:rsidR="001F3333">
        <w:rPr>
          <w:szCs w:val="24"/>
        </w:rPr>
        <w:t>Should we experience an emergency event that requires us to vacate the building, students should exit the room and move toward the nearest exit, which is located through the doors to my left and to my right.  After leaving through these doors, exits are available to both the left and right; out the door to the north an exit is also available along the north wall.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F3333" w:rsidRDefault="001F3333" w:rsidP="001F3333">
      <w:pPr>
        <w:rPr>
          <w:b/>
        </w:rPr>
      </w:pPr>
    </w:p>
    <w:p w:rsidR="005128E6" w:rsidRDefault="005128E6" w:rsidP="005128E6">
      <w:pPr>
        <w:pStyle w:val="NormalWeb"/>
        <w:spacing w:before="0" w:beforeAutospacing="0" w:after="0" w:afterAutospacing="0"/>
      </w:pPr>
      <w:r>
        <w:rPr>
          <w:b/>
        </w:rPr>
        <w:t xml:space="preserve">Drop Policy: </w:t>
      </w:r>
      <w:r>
        <w:t xml:space="preserve">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5" w:history="1">
        <w:r>
          <w:rPr>
            <w:rStyle w:val="Hyperlink"/>
          </w:rPr>
          <w:t>http://wweb.uta.edu/ses/fao</w:t>
        </w:r>
      </w:hyperlink>
      <w:r>
        <w:t>).</w:t>
      </w:r>
    </w:p>
    <w:p w:rsidR="005128E6" w:rsidRDefault="005128E6" w:rsidP="005128E6">
      <w:pPr>
        <w:pStyle w:val="NormalWeb"/>
        <w:spacing w:before="0" w:beforeAutospacing="0" w:after="0" w:afterAutospacing="0"/>
      </w:pPr>
    </w:p>
    <w:p w:rsidR="005128E6" w:rsidRDefault="005128E6" w:rsidP="005128E6">
      <w:pPr>
        <w:rPr>
          <w:szCs w:val="24"/>
        </w:rPr>
      </w:pPr>
      <w:r>
        <w:rPr>
          <w:b/>
          <w:szCs w:val="24"/>
        </w:rPr>
        <w:t>Electronic Communication:</w:t>
      </w:r>
      <w:r>
        <w:rPr>
          <w:bCs/>
          <w:szCs w:val="24"/>
        </w:rPr>
        <w:t xml:space="preserve"> </w:t>
      </w:r>
      <w:r>
        <w:rPr>
          <w:szCs w:val="24"/>
        </w:rPr>
        <w:t xml:space="preserve">UT Arlington has adopted </w:t>
      </w:r>
      <w:proofErr w:type="spellStart"/>
      <w:r>
        <w:rPr>
          <w:szCs w:val="24"/>
        </w:rPr>
        <w:t>MavMail</w:t>
      </w:r>
      <w:proofErr w:type="spellEnd"/>
      <w:r>
        <w:rPr>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szCs w:val="24"/>
        </w:rPr>
        <w:t>MavMail</w:t>
      </w:r>
      <w:proofErr w:type="spellEnd"/>
      <w:r>
        <w:rPr>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Pr>
          <w:szCs w:val="24"/>
        </w:rPr>
        <w:t>MavMail</w:t>
      </w:r>
      <w:proofErr w:type="spellEnd"/>
      <w:r>
        <w:rPr>
          <w:szCs w:val="24"/>
        </w:rPr>
        <w:t xml:space="preserve"> is available at </w:t>
      </w:r>
      <w:hyperlink r:id="rId6" w:history="1">
        <w:r>
          <w:rPr>
            <w:rStyle w:val="Hyperlink"/>
            <w:szCs w:val="24"/>
          </w:rPr>
          <w:t>http://www.uta.edu/oit/cs/email/mavmail.php</w:t>
        </w:r>
      </w:hyperlink>
      <w:r>
        <w:rPr>
          <w:szCs w:val="24"/>
        </w:rPr>
        <w:t>.</w:t>
      </w:r>
    </w:p>
    <w:p w:rsidR="005128E6" w:rsidRDefault="005128E6" w:rsidP="005128E6">
      <w:pPr>
        <w:keepNext/>
        <w:rPr>
          <w:b/>
          <w:bCs/>
          <w:szCs w:val="24"/>
        </w:rPr>
      </w:pPr>
    </w:p>
    <w:p w:rsidR="001F3333" w:rsidRDefault="001F3333" w:rsidP="00E72DBC">
      <w:pPr>
        <w:rPr>
          <w:b/>
          <w:bCs/>
          <w:szCs w:val="24"/>
        </w:rPr>
      </w:pPr>
    </w:p>
    <w:p w:rsidR="005128E6" w:rsidRDefault="005128E6" w:rsidP="00E72DBC">
      <w:pPr>
        <w:rPr>
          <w:szCs w:val="24"/>
        </w:rPr>
      </w:pPr>
      <w:r>
        <w:rPr>
          <w:b/>
          <w:bCs/>
          <w:szCs w:val="24"/>
        </w:rPr>
        <w:lastRenderedPageBreak/>
        <w:t>Final Review Week:</w:t>
      </w:r>
      <w:r>
        <w:rPr>
          <w:bCs/>
          <w:szCs w:val="24"/>
        </w:rPr>
        <w:t xml:space="preserve"> </w:t>
      </w:r>
      <w:r>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szCs w:val="24"/>
        </w:rPr>
        <w:t>unless specified in the class syllabus</w:t>
      </w:r>
      <w:r>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2DBC" w:rsidRPr="00E72DBC" w:rsidRDefault="00E72DBC" w:rsidP="00E72DBC">
      <w:pPr>
        <w:rPr>
          <w:szCs w:val="24"/>
        </w:rPr>
      </w:pPr>
    </w:p>
    <w:p w:rsidR="00E72DBC" w:rsidRDefault="00E72DBC" w:rsidP="00E72DBC">
      <w:pPr>
        <w:rPr>
          <w:szCs w:val="24"/>
        </w:rPr>
      </w:pPr>
      <w:r>
        <w:rPr>
          <w:b/>
          <w:szCs w:val="24"/>
        </w:rPr>
        <w:t>Campus Carry:</w:t>
      </w:r>
      <w:r>
        <w:rPr>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7" w:history="1">
        <w:r>
          <w:rPr>
            <w:rStyle w:val="Hyperlink"/>
            <w:szCs w:val="24"/>
          </w:rPr>
          <w:t>http://www.uta.edu/news/info/campus-carry/</w:t>
        </w:r>
      </w:hyperlink>
    </w:p>
    <w:p w:rsidR="005128E6" w:rsidRDefault="005128E6" w:rsidP="005128E6">
      <w:pPr>
        <w:autoSpaceDE w:val="0"/>
        <w:autoSpaceDN w:val="0"/>
        <w:adjustRightInd w:val="0"/>
        <w:rPr>
          <w:b/>
          <w:szCs w:val="24"/>
        </w:rPr>
      </w:pPr>
    </w:p>
    <w:p w:rsidR="005128E6" w:rsidRDefault="005128E6" w:rsidP="005128E6">
      <w:pPr>
        <w:autoSpaceDE w:val="0"/>
        <w:autoSpaceDN w:val="0"/>
        <w:adjustRightInd w:val="0"/>
        <w:rPr>
          <w:szCs w:val="24"/>
        </w:rPr>
      </w:pPr>
      <w:r>
        <w:rPr>
          <w:b/>
          <w:szCs w:val="24"/>
        </w:rPr>
        <w:t xml:space="preserve">Student Feedback Survey: </w:t>
      </w:r>
      <w:r>
        <w:rPr>
          <w:bCs/>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bCs/>
          <w:szCs w:val="24"/>
        </w:rPr>
        <w:t>MavMail</w:t>
      </w:r>
      <w:proofErr w:type="spellEnd"/>
      <w:r>
        <w:rPr>
          <w:bCs/>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8" w:history="1">
        <w:r>
          <w:rPr>
            <w:rStyle w:val="Hyperlink"/>
            <w:bCs/>
            <w:szCs w:val="24"/>
          </w:rPr>
          <w:t>http://www.uta.edu/sfs</w:t>
        </w:r>
      </w:hyperlink>
      <w:r>
        <w:rPr>
          <w:bCs/>
          <w:szCs w:val="24"/>
        </w:rPr>
        <w:t>.</w:t>
      </w:r>
    </w:p>
    <w:p w:rsidR="005128E6" w:rsidRDefault="005128E6" w:rsidP="005128E6">
      <w:pPr>
        <w:rPr>
          <w:b/>
          <w:bCs/>
          <w:szCs w:val="24"/>
        </w:rPr>
      </w:pPr>
    </w:p>
    <w:p w:rsidR="005128E6" w:rsidRDefault="005128E6" w:rsidP="005128E6">
      <w:pPr>
        <w:keepNext/>
        <w:spacing w:after="120"/>
        <w:rPr>
          <w:szCs w:val="24"/>
        </w:rPr>
      </w:pPr>
      <w:r>
        <w:rPr>
          <w:b/>
          <w:bCs/>
          <w:szCs w:val="24"/>
        </w:rPr>
        <w:t xml:space="preserve">Academic Integrity: </w:t>
      </w:r>
      <w:r>
        <w:rPr>
          <w:szCs w:val="24"/>
        </w:rPr>
        <w:t>All students enrolled in this course are expected to adhere to the UT Arlington Honor Code:</w:t>
      </w:r>
    </w:p>
    <w:p w:rsidR="005128E6" w:rsidRDefault="005128E6" w:rsidP="005128E6">
      <w:pPr>
        <w:pStyle w:val="Default"/>
        <w:spacing w:after="80"/>
        <w:ind w:right="-72"/>
        <w:jc w:val="both"/>
        <w:rPr>
          <w:i/>
        </w:rPr>
      </w:pPr>
      <w:r>
        <w:rPr>
          <w:i/>
        </w:rPr>
        <w:t xml:space="preserve">I pledge, on my honor, to uphold UT Arlington’s tradition of academic integrity, a tradition that values hard work and honest effort in the pursuit of academic excellence. </w:t>
      </w:r>
    </w:p>
    <w:p w:rsidR="005128E6" w:rsidRDefault="005128E6" w:rsidP="005128E6">
      <w:pPr>
        <w:pStyle w:val="Default"/>
        <w:spacing w:after="120"/>
        <w:ind w:right="-72"/>
        <w:jc w:val="both"/>
        <w:rPr>
          <w:i/>
        </w:rPr>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128E6" w:rsidRDefault="005128E6" w:rsidP="005128E6">
      <w:pPr>
        <w:keepNext/>
        <w:spacing w:after="120"/>
        <w:rPr>
          <w:szCs w:val="24"/>
        </w:rPr>
      </w:pPr>
      <w:r>
        <w:rPr>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Pr>
          <w:i/>
          <w:szCs w:val="24"/>
        </w:rPr>
        <w:t>Regents’ Rule</w:t>
      </w:r>
      <w:r>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80D17" w:rsidRDefault="00680D17" w:rsidP="00680D17">
      <w:pPr>
        <w:pStyle w:val="NormalWeb"/>
        <w:spacing w:before="0" w:beforeAutospacing="0" w:after="0" w:afterAutospacing="0"/>
        <w:rPr>
          <w:rFonts w:ascii="Arial" w:hAnsi="Arial" w:cs="Arial"/>
          <w:sz w:val="21"/>
          <w:szCs w:val="21"/>
        </w:rPr>
      </w:pPr>
    </w:p>
    <w:p w:rsidR="00680D17" w:rsidRPr="00680D17" w:rsidRDefault="00680D17" w:rsidP="00680D17">
      <w:pPr>
        <w:rPr>
          <w:b/>
          <w:szCs w:val="24"/>
          <w:u w:val="single"/>
        </w:rPr>
      </w:pPr>
      <w:r w:rsidRPr="00680D17">
        <w:rPr>
          <w:b/>
          <w:bCs/>
          <w:szCs w:val="24"/>
        </w:rPr>
        <w:t xml:space="preserve">Disability Accommodations: </w:t>
      </w:r>
      <w:r w:rsidRPr="00680D17">
        <w:rPr>
          <w:szCs w:val="24"/>
        </w:rPr>
        <w:t>UT</w:t>
      </w:r>
      <w:r w:rsidRPr="00680D17">
        <w:rPr>
          <w:b/>
          <w:szCs w:val="24"/>
        </w:rPr>
        <w:t xml:space="preserve"> </w:t>
      </w:r>
      <w:r w:rsidRPr="00680D17">
        <w:rPr>
          <w:szCs w:val="24"/>
        </w:rPr>
        <w:t xml:space="preserve">Arlington is on record as being committed to both the spirit and letter of all federal equal opportunity legislation, including </w:t>
      </w:r>
      <w:r w:rsidRPr="00680D17">
        <w:rPr>
          <w:i/>
          <w:szCs w:val="24"/>
        </w:rPr>
        <w:t xml:space="preserve">The Americans with Disabilities Act (ADA), The Americans with Disabilities Amendments Act (ADAAA), </w:t>
      </w:r>
      <w:r w:rsidRPr="00680D17">
        <w:rPr>
          <w:szCs w:val="24"/>
        </w:rPr>
        <w:t xml:space="preserve">and </w:t>
      </w:r>
      <w:r w:rsidRPr="00680D17">
        <w:rPr>
          <w:i/>
          <w:szCs w:val="24"/>
        </w:rPr>
        <w:t xml:space="preserve">Section 504 of the </w:t>
      </w:r>
      <w:r w:rsidRPr="00680D17">
        <w:rPr>
          <w:i/>
          <w:szCs w:val="24"/>
        </w:rPr>
        <w:lastRenderedPageBreak/>
        <w:t xml:space="preserve">Rehabilitation Act. </w:t>
      </w:r>
      <w:r w:rsidRPr="00680D17">
        <w:rPr>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80D17">
        <w:rPr>
          <w:b/>
          <w:szCs w:val="24"/>
        </w:rPr>
        <w:t>a letter certified</w:t>
      </w:r>
      <w:r w:rsidRPr="00680D17">
        <w:rPr>
          <w:szCs w:val="24"/>
        </w:rPr>
        <w:t xml:space="preserve"> by the Office for Students with Disabilities (OSD).</w:t>
      </w:r>
      <w:r w:rsidRPr="00680D17">
        <w:rPr>
          <w:b/>
          <w:szCs w:val="24"/>
          <w:u w:val="single"/>
        </w:rPr>
        <w:t xml:space="preserve"> </w:t>
      </w:r>
      <w:r w:rsidRPr="00680D17">
        <w:rPr>
          <w:b/>
          <w:szCs w:val="24"/>
        </w:rPr>
        <w:t xml:space="preserve"> </w:t>
      </w:r>
      <w:r w:rsidRPr="00680D17">
        <w:rPr>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80D17">
        <w:rPr>
          <w:b/>
          <w:szCs w:val="24"/>
        </w:rPr>
        <w:t>The Office for Students with Disabilities, (OSD</w:t>
      </w:r>
      <w:proofErr w:type="gramStart"/>
      <w:r w:rsidRPr="00680D17">
        <w:rPr>
          <w:b/>
          <w:szCs w:val="24"/>
        </w:rPr>
        <w:t>)</w:t>
      </w:r>
      <w:r w:rsidRPr="00680D17">
        <w:rPr>
          <w:szCs w:val="24"/>
        </w:rPr>
        <w:t xml:space="preserve">  </w:t>
      </w:r>
      <w:proofErr w:type="gramEnd"/>
      <w:hyperlink r:id="rId9" w:history="1">
        <w:r w:rsidRPr="00680D17">
          <w:rPr>
            <w:rStyle w:val="Hyperlink"/>
            <w:szCs w:val="24"/>
          </w:rPr>
          <w:t>www.uta.edu/disability</w:t>
        </w:r>
      </w:hyperlink>
      <w:r w:rsidRPr="00680D17">
        <w:rPr>
          <w:szCs w:val="24"/>
        </w:rPr>
        <w:t xml:space="preserve"> or calling 817-272-3364. Information regarding diagnostic criteria and policies for obtaining disability-based academic accommodations can be found at </w:t>
      </w:r>
      <w:hyperlink r:id="rId10" w:history="1">
        <w:r w:rsidRPr="00680D17">
          <w:rPr>
            <w:rStyle w:val="Hyperlink"/>
            <w:szCs w:val="24"/>
          </w:rPr>
          <w:t>www.uta.edu/disability</w:t>
        </w:r>
      </w:hyperlink>
      <w:r w:rsidRPr="00680D17">
        <w:rPr>
          <w:rStyle w:val="Hyperlink"/>
          <w:szCs w:val="24"/>
        </w:rPr>
        <w:t>.</w:t>
      </w:r>
    </w:p>
    <w:p w:rsidR="00680D17" w:rsidRPr="00680D17" w:rsidRDefault="00680D17" w:rsidP="00680D17">
      <w:pPr>
        <w:rPr>
          <w:szCs w:val="24"/>
        </w:rPr>
      </w:pPr>
    </w:p>
    <w:p w:rsidR="00680D17" w:rsidRPr="00680D17" w:rsidRDefault="00680D17" w:rsidP="00680D17">
      <w:pPr>
        <w:rPr>
          <w:szCs w:val="24"/>
        </w:rPr>
      </w:pPr>
      <w:r w:rsidRPr="00680D17">
        <w:rPr>
          <w:szCs w:val="24"/>
        </w:rPr>
        <w:t xml:space="preserve">Counseling and Psychological Services (CAPS) </w:t>
      </w:r>
      <w:hyperlink r:id="rId11" w:history="1">
        <w:r w:rsidRPr="00680D17">
          <w:rPr>
            <w:rStyle w:val="Hyperlink"/>
            <w:szCs w:val="24"/>
          </w:rPr>
          <w:t>www.uta.edu/caps/</w:t>
        </w:r>
      </w:hyperlink>
      <w:r w:rsidRPr="00680D17">
        <w:rPr>
          <w:szCs w:val="24"/>
        </w:rPr>
        <w:t xml:space="preserve"> or calling 817-272-3671 is also available to all students </w:t>
      </w:r>
      <w:r w:rsidRPr="00680D17">
        <w:rPr>
          <w:color w:val="333333"/>
          <w:szCs w:val="24"/>
          <w:shd w:val="clear" w:color="auto" w:fill="FFFFFF"/>
        </w:rPr>
        <w:t xml:space="preserve">to help increase their understanding of personal issues, address mental and behavioral health problems and make positive changes in their lives. </w:t>
      </w:r>
    </w:p>
    <w:p w:rsidR="005128E6" w:rsidRDefault="005128E6" w:rsidP="005128E6">
      <w:pPr>
        <w:spacing w:after="120"/>
        <w:rPr>
          <w:b/>
          <w:bCs/>
          <w:szCs w:val="24"/>
        </w:rPr>
      </w:pPr>
    </w:p>
    <w:p w:rsidR="005128E6" w:rsidRDefault="005128E6" w:rsidP="005128E6">
      <w:pPr>
        <w:rPr>
          <w:b/>
          <w:bCs/>
          <w:color w:val="0000FF"/>
          <w:szCs w:val="24"/>
        </w:rPr>
      </w:pPr>
      <w:r>
        <w:rPr>
          <w:b/>
          <w:bCs/>
          <w:szCs w:val="24"/>
        </w:rPr>
        <w:t>Student Support Services</w:t>
      </w:r>
      <w:r>
        <w:rPr>
          <w:szCs w:val="24"/>
        </w:rPr>
        <w:t>:</w:t>
      </w:r>
      <w:r>
        <w:rPr>
          <w:b/>
          <w:bCs/>
          <w:szCs w:val="24"/>
        </w:rPr>
        <w:t xml:space="preserve"> </w:t>
      </w:r>
      <w:r>
        <w:rPr>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history="1">
        <w:r>
          <w:rPr>
            <w:rStyle w:val="Hyperlink"/>
            <w:szCs w:val="24"/>
          </w:rPr>
          <w:t>tutoring</w:t>
        </w:r>
      </w:hyperlink>
      <w:r>
        <w:rPr>
          <w:szCs w:val="24"/>
        </w:rPr>
        <w:t xml:space="preserve">, </w:t>
      </w:r>
      <w:hyperlink r:id="rId13" w:history="1">
        <w:r>
          <w:rPr>
            <w:rStyle w:val="Hyperlink"/>
            <w:szCs w:val="24"/>
          </w:rPr>
          <w:t>major-based learning centers</w:t>
        </w:r>
      </w:hyperlink>
      <w:r>
        <w:rPr>
          <w:szCs w:val="24"/>
        </w:rPr>
        <w:t xml:space="preserve">, developmental education, </w:t>
      </w:r>
      <w:hyperlink r:id="rId14" w:history="1">
        <w:r>
          <w:rPr>
            <w:rStyle w:val="Hyperlink"/>
            <w:szCs w:val="24"/>
          </w:rPr>
          <w:t>advising and mentoring</w:t>
        </w:r>
      </w:hyperlink>
      <w:r>
        <w:rPr>
          <w:szCs w:val="24"/>
        </w:rPr>
        <w:t xml:space="preserve">, personal counseling, and </w:t>
      </w:r>
      <w:hyperlink r:id="rId15" w:history="1">
        <w:r>
          <w:rPr>
            <w:rStyle w:val="Hyperlink"/>
            <w:szCs w:val="24"/>
          </w:rPr>
          <w:t>federally funded programs</w:t>
        </w:r>
      </w:hyperlink>
      <w:r>
        <w:rPr>
          <w:szCs w:val="24"/>
        </w:rPr>
        <w:t xml:space="preserve">. For individualized referrals, students may visit the reception desk at University College (Ransom Hall), call the Maverick Resource Hotline at 817-272-6107, send a message to </w:t>
      </w:r>
      <w:hyperlink r:id="rId16" w:history="1">
        <w:r>
          <w:rPr>
            <w:rStyle w:val="Hyperlink"/>
            <w:szCs w:val="24"/>
          </w:rPr>
          <w:t>resources@uta.edu</w:t>
        </w:r>
      </w:hyperlink>
      <w:r>
        <w:rPr>
          <w:szCs w:val="24"/>
        </w:rPr>
        <w:t xml:space="preserve">, or view the information at </w:t>
      </w:r>
      <w:hyperlink r:id="rId17" w:history="1">
        <w:r>
          <w:rPr>
            <w:rStyle w:val="Hyperlink"/>
            <w:szCs w:val="24"/>
          </w:rPr>
          <w:t>http://www.uta.edu/universitycollege/resources/index.php</w:t>
        </w:r>
      </w:hyperlink>
      <w:r>
        <w:rPr>
          <w:szCs w:val="24"/>
        </w:rPr>
        <w:t>.</w:t>
      </w:r>
    </w:p>
    <w:p w:rsidR="005128E6" w:rsidRDefault="005128E6" w:rsidP="005128E6">
      <w:pPr>
        <w:rPr>
          <w:bCs/>
          <w:color w:val="0000FF"/>
          <w:szCs w:val="24"/>
        </w:rPr>
      </w:pPr>
    </w:p>
    <w:p w:rsidR="005128E6" w:rsidRDefault="005128E6" w:rsidP="005128E6">
      <w:pPr>
        <w:ind w:left="360"/>
        <w:rPr>
          <w:bCs/>
          <w:szCs w:val="24"/>
        </w:rPr>
      </w:pPr>
      <w:r>
        <w:rPr>
          <w:b/>
          <w:bCs/>
          <w:szCs w:val="24"/>
        </w:rPr>
        <w:t>The IDEAS Center (</w:t>
      </w:r>
      <w:r>
        <w:rPr>
          <w:bCs/>
          <w:szCs w:val="24"/>
        </w:rPr>
        <w:t>2</w:t>
      </w:r>
      <w:r>
        <w:rPr>
          <w:bCs/>
          <w:szCs w:val="24"/>
          <w:vertAlign w:val="superscript"/>
        </w:rPr>
        <w:t>nd</w:t>
      </w:r>
      <w:r>
        <w:rPr>
          <w:bCs/>
          <w:szCs w:val="24"/>
        </w:rPr>
        <w:t xml:space="preserve"> Floor of Central Library) offers </w:t>
      </w:r>
      <w:r>
        <w:rPr>
          <w:b/>
          <w:bCs/>
          <w:szCs w:val="24"/>
        </w:rPr>
        <w:t>free</w:t>
      </w:r>
      <w:r>
        <w:rPr>
          <w:bCs/>
          <w:szCs w:val="24"/>
        </w:rPr>
        <w:t xml:space="preserve"> tutoring to all students with a focus on transfer students, sophomores, veterans and others undergoing a transition to UT Arlington. To schedule an appointment with a peer tutor or mentor email </w:t>
      </w:r>
      <w:hyperlink r:id="rId18" w:history="1">
        <w:r>
          <w:rPr>
            <w:rStyle w:val="Hyperlink"/>
            <w:bCs/>
            <w:szCs w:val="24"/>
          </w:rPr>
          <w:t>IDEAS@uta.edu</w:t>
        </w:r>
      </w:hyperlink>
      <w:r>
        <w:rPr>
          <w:bCs/>
          <w:szCs w:val="24"/>
        </w:rPr>
        <w:t xml:space="preserve"> or call (817) 272-6593.</w:t>
      </w:r>
    </w:p>
    <w:p w:rsidR="005128E6" w:rsidRDefault="005128E6" w:rsidP="005128E6">
      <w:pPr>
        <w:spacing w:before="100" w:beforeAutospacing="1" w:after="100" w:afterAutospacing="1"/>
        <w:ind w:left="360"/>
        <w:rPr>
          <w:szCs w:val="24"/>
        </w:rPr>
      </w:pPr>
      <w:r>
        <w:rPr>
          <w:b/>
          <w:bCs/>
          <w:szCs w:val="24"/>
        </w:rPr>
        <w:t>The English Writing Center (411LIBR)</w:t>
      </w:r>
      <w:r>
        <w:rPr>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19" w:history="1">
        <w:r>
          <w:rPr>
            <w:rStyle w:val="Hyperlink"/>
            <w:szCs w:val="24"/>
          </w:rPr>
          <w:t>www.uta.edu/owl</w:t>
        </w:r>
      </w:hyperlink>
      <w:r>
        <w:rPr>
          <w:szCs w:val="24"/>
        </w:rPr>
        <w:t xml:space="preserve"> for detailed information on all our programs and services.</w:t>
      </w:r>
    </w:p>
    <w:p w:rsidR="005128E6" w:rsidRDefault="005128E6" w:rsidP="005128E6">
      <w:pPr>
        <w:spacing w:before="100" w:beforeAutospacing="1" w:after="100" w:afterAutospacing="1"/>
        <w:ind w:left="360"/>
        <w:rPr>
          <w:szCs w:val="24"/>
        </w:rPr>
      </w:pPr>
      <w:r>
        <w:rPr>
          <w:szCs w:val="24"/>
        </w:rPr>
        <w:t>The Library’s 2</w:t>
      </w:r>
      <w:r>
        <w:rPr>
          <w:szCs w:val="24"/>
          <w:vertAlign w:val="superscript"/>
        </w:rPr>
        <w:t>nd</w:t>
      </w:r>
      <w:r>
        <w:rPr>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history="1">
        <w:r>
          <w:rPr>
            <w:rStyle w:val="Hyperlink"/>
            <w:szCs w:val="24"/>
          </w:rPr>
          <w:t>http://library.uta.edu/academic-plaza</w:t>
        </w:r>
      </w:hyperlink>
    </w:p>
    <w:p w:rsidR="005128E6" w:rsidRDefault="005128E6" w:rsidP="005128E6">
      <w:pPr>
        <w:tabs>
          <w:tab w:val="left" w:leader="dot" w:pos="3600"/>
        </w:tabs>
        <w:rPr>
          <w:b/>
          <w:szCs w:val="24"/>
        </w:rPr>
      </w:pPr>
      <w:r>
        <w:rPr>
          <w:b/>
          <w:szCs w:val="24"/>
        </w:rPr>
        <w:t>Librarian to Contact:</w:t>
      </w:r>
      <w:r>
        <w:rPr>
          <w:szCs w:val="24"/>
        </w:rPr>
        <w:t xml:space="preserve"> </w:t>
      </w:r>
      <w:hyperlink r:id="rId21" w:history="1">
        <w:r>
          <w:rPr>
            <w:rStyle w:val="Hyperlink"/>
            <w:szCs w:val="24"/>
          </w:rPr>
          <w:t>Martin Wallace</w:t>
        </w:r>
      </w:hyperlink>
      <w:r>
        <w:rPr>
          <w:szCs w:val="24"/>
        </w:rPr>
        <w:t xml:space="preserve">, martin.wallace@uta.edu, 817-272-3924, </w:t>
      </w:r>
      <w:hyperlink r:id="rId22" w:history="1">
        <w:r>
          <w:rPr>
            <w:rStyle w:val="Hyperlink"/>
            <w:szCs w:val="24"/>
          </w:rPr>
          <w:t>Office Hours</w:t>
        </w:r>
      </w:hyperlink>
    </w:p>
    <w:p w:rsidR="001F3333" w:rsidRDefault="001F3333">
      <w:pPr>
        <w:rPr>
          <w:b/>
        </w:rPr>
      </w:pPr>
    </w:p>
    <w:p w:rsidR="001F3333" w:rsidRDefault="001F3333" w:rsidP="001F3333">
      <w:pPr>
        <w:rPr>
          <w:b/>
          <w:bCs/>
          <w:szCs w:val="24"/>
        </w:rPr>
      </w:pPr>
    </w:p>
    <w:p w:rsidR="001F3333" w:rsidRPr="00680D17" w:rsidRDefault="001F3333" w:rsidP="001F3333">
      <w:pPr>
        <w:rPr>
          <w:i/>
          <w:iCs/>
          <w:szCs w:val="24"/>
        </w:rPr>
      </w:pPr>
      <w:r w:rsidRPr="00680D17">
        <w:rPr>
          <w:b/>
          <w:bCs/>
          <w:szCs w:val="24"/>
        </w:rPr>
        <w:t>Non-Discrimination Policy:</w:t>
      </w:r>
      <w:r w:rsidRPr="00680D17">
        <w:rPr>
          <w:szCs w:val="24"/>
        </w:rPr>
        <w:t xml:space="preserve"> </w:t>
      </w:r>
      <w:r w:rsidRPr="00680D17">
        <w:rPr>
          <w:i/>
          <w:iCs/>
          <w:szCs w:val="24"/>
        </w:rPr>
        <w:t xml:space="preserve">The University of Texas at Arlington does not discriminate on the basis of race, color, national origin, religion, age, gender, sexual orientation, disabilities, </w:t>
      </w:r>
      <w:r w:rsidRPr="00680D17">
        <w:rPr>
          <w:i/>
          <w:iCs/>
          <w:szCs w:val="24"/>
        </w:rPr>
        <w:lastRenderedPageBreak/>
        <w:t>genetic information, and/or veteran status in its educational programs or activities it operates. For more information, visit </w:t>
      </w:r>
      <w:hyperlink r:id="rId23" w:history="1">
        <w:r w:rsidRPr="00680D17">
          <w:rPr>
            <w:rStyle w:val="Hyperlink"/>
            <w:i/>
            <w:iCs/>
            <w:szCs w:val="24"/>
          </w:rPr>
          <w:t>uta.edu/</w:t>
        </w:r>
        <w:proofErr w:type="spellStart"/>
        <w:r w:rsidRPr="00680D17">
          <w:rPr>
            <w:rStyle w:val="Hyperlink"/>
            <w:i/>
            <w:iCs/>
            <w:szCs w:val="24"/>
          </w:rPr>
          <w:t>eos</w:t>
        </w:r>
        <w:proofErr w:type="spellEnd"/>
      </w:hyperlink>
      <w:r w:rsidRPr="00680D17">
        <w:rPr>
          <w:i/>
          <w:iCs/>
          <w:szCs w:val="24"/>
        </w:rPr>
        <w:t>.</w:t>
      </w:r>
    </w:p>
    <w:p w:rsidR="001F3333" w:rsidRPr="00680D17" w:rsidRDefault="001F3333" w:rsidP="001F3333">
      <w:pPr>
        <w:rPr>
          <w:i/>
          <w:iCs/>
          <w:sz w:val="21"/>
          <w:szCs w:val="21"/>
        </w:rPr>
      </w:pPr>
    </w:p>
    <w:p w:rsidR="001F3333" w:rsidRDefault="001F3333" w:rsidP="001F3333">
      <w:pPr>
        <w:spacing w:after="120"/>
        <w:rPr>
          <w:szCs w:val="24"/>
        </w:rPr>
      </w:pPr>
      <w:r>
        <w:rPr>
          <w:b/>
          <w:bCs/>
          <w:szCs w:val="24"/>
        </w:rPr>
        <w:t>Title IX:</w:t>
      </w:r>
      <w:r>
        <w:rPr>
          <w:szCs w:val="24"/>
        </w:rPr>
        <w:t xml:space="preserve"> </w:t>
      </w:r>
      <w:r>
        <w:rPr>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iCs/>
          <w:szCs w:val="24"/>
        </w:rPr>
        <w:t>SaVE</w:t>
      </w:r>
      <w:proofErr w:type="spellEnd"/>
      <w:r>
        <w:rPr>
          <w:iCs/>
          <w:szCs w:val="24"/>
        </w:rPr>
        <w:t xml:space="preserve"> Act). Sexual misconduct is a form of sex discrimination and will not be tolerated.</w:t>
      </w:r>
      <w:r>
        <w:rPr>
          <w:b/>
          <w:iCs/>
          <w:szCs w:val="24"/>
        </w:rPr>
        <w:t xml:space="preserve"> </w:t>
      </w:r>
      <w:r>
        <w:rPr>
          <w:i/>
          <w:iCs/>
          <w:color w:val="000000"/>
          <w:szCs w:val="24"/>
          <w:shd w:val="clear" w:color="auto" w:fill="FFFFFF"/>
        </w:rPr>
        <w:t>For information regarding Title IX, visit</w:t>
      </w:r>
      <w:r>
        <w:rPr>
          <w:szCs w:val="24"/>
        </w:rPr>
        <w:t xml:space="preserve"> </w:t>
      </w:r>
      <w:hyperlink r:id="rId24" w:history="1">
        <w:r>
          <w:rPr>
            <w:rStyle w:val="Hyperlink"/>
            <w:szCs w:val="24"/>
          </w:rPr>
          <w:t>www.uta.edu/titleIX</w:t>
        </w:r>
      </w:hyperlink>
      <w:r>
        <w:rPr>
          <w:szCs w:val="24"/>
        </w:rPr>
        <w:t xml:space="preserve"> or contact Ms. Jean Hood, Vice President and Title IX Coordinator at (817) 272-7091 or </w:t>
      </w:r>
      <w:hyperlink r:id="rId25" w:history="1">
        <w:r>
          <w:rPr>
            <w:rStyle w:val="Hyperlink"/>
            <w:szCs w:val="24"/>
          </w:rPr>
          <w:t>jmhood@uta.edu</w:t>
        </w:r>
      </w:hyperlink>
      <w:r>
        <w:rPr>
          <w:szCs w:val="24"/>
        </w:rPr>
        <w:t>.</w:t>
      </w:r>
    </w:p>
    <w:p w:rsidR="00CE3109" w:rsidRDefault="00CE3109">
      <w:pPr>
        <w:rPr>
          <w:b/>
        </w:rPr>
      </w:pPr>
      <w:r>
        <w:rPr>
          <w:b/>
        </w:rPr>
        <w:br w:type="page"/>
      </w:r>
      <w:r>
        <w:rPr>
          <w:b/>
        </w:rPr>
        <w:lastRenderedPageBreak/>
        <w:t>Objectives:</w:t>
      </w:r>
    </w:p>
    <w:p w:rsidR="00CE3109" w:rsidRDefault="00CE3109">
      <w:pPr>
        <w:rPr>
          <w:b/>
        </w:rPr>
      </w:pPr>
    </w:p>
    <w:p w:rsidR="00CE3109" w:rsidRDefault="00CE3109">
      <w:pPr>
        <w:numPr>
          <w:ilvl w:val="0"/>
          <w:numId w:val="5"/>
        </w:numPr>
      </w:pPr>
      <w:r>
        <w:t>Be able to describe different decision-making techniques.</w:t>
      </w:r>
    </w:p>
    <w:p w:rsidR="00CE3109" w:rsidRDefault="00CE3109">
      <w:pPr>
        <w:numPr>
          <w:ilvl w:val="0"/>
          <w:numId w:val="5"/>
        </w:numPr>
      </w:pPr>
      <w:r>
        <w:t>Be able to select and justify the use of a particular decision-making technique based on a description of the problem.</w:t>
      </w:r>
    </w:p>
    <w:p w:rsidR="00CE3109" w:rsidRDefault="00CE3109">
      <w:pPr>
        <w:numPr>
          <w:ilvl w:val="0"/>
          <w:numId w:val="5"/>
        </w:numPr>
      </w:pPr>
      <w:r>
        <w:t>Be able to compare and contrast rational, behavioral and irrational decision-making theories.</w:t>
      </w:r>
    </w:p>
    <w:p w:rsidR="00CE3109" w:rsidRDefault="00CE3109">
      <w:pPr>
        <w:numPr>
          <w:ilvl w:val="0"/>
          <w:numId w:val="5"/>
        </w:numPr>
      </w:pPr>
      <w:r>
        <w:t>Be able to compare and contrast the implications associated with the following decision-making conditions: certainty, risk and uncertainty.</w:t>
      </w:r>
    </w:p>
    <w:p w:rsidR="00CE3109" w:rsidRDefault="00CE3109">
      <w:pPr>
        <w:numPr>
          <w:ilvl w:val="0"/>
          <w:numId w:val="5"/>
        </w:numPr>
      </w:pPr>
      <w:r>
        <w:t>Be able to apply the basic tools for economic appraisal, including but not limited to nominal and effective interest rates, present and future worth, sinking fund, capital recovery, etc. (see chapter 2)</w:t>
      </w:r>
    </w:p>
    <w:p w:rsidR="00CE3109" w:rsidRDefault="00CE3109">
      <w:pPr>
        <w:numPr>
          <w:ilvl w:val="0"/>
          <w:numId w:val="5"/>
        </w:numPr>
      </w:pPr>
      <w:r>
        <w:t>Be able to design and solve a life-cycle cost problem.</w:t>
      </w:r>
    </w:p>
    <w:p w:rsidR="00CE3109" w:rsidRDefault="00CE3109">
      <w:pPr>
        <w:numPr>
          <w:ilvl w:val="0"/>
          <w:numId w:val="5"/>
        </w:numPr>
      </w:pPr>
      <w:r>
        <w:t>Be able to select an alternative using present worth evaluation.</w:t>
      </w:r>
    </w:p>
    <w:p w:rsidR="00CE3109" w:rsidRDefault="00CE3109">
      <w:pPr>
        <w:numPr>
          <w:ilvl w:val="0"/>
          <w:numId w:val="5"/>
        </w:numPr>
      </w:pPr>
      <w:r>
        <w:t>Be able to compare projects using equivalent annual worth.</w:t>
      </w:r>
    </w:p>
    <w:p w:rsidR="00CE3109" w:rsidRDefault="00CE3109">
      <w:pPr>
        <w:numPr>
          <w:ilvl w:val="0"/>
          <w:numId w:val="5"/>
        </w:numPr>
      </w:pPr>
      <w:r>
        <w:t>Be able to rank multiple alternatives using rate of return analysis.</w:t>
      </w:r>
    </w:p>
    <w:p w:rsidR="00CE3109" w:rsidRDefault="00CE3109">
      <w:pPr>
        <w:numPr>
          <w:ilvl w:val="0"/>
          <w:numId w:val="5"/>
        </w:numPr>
      </w:pPr>
      <w:r>
        <w:t>Be able to the strengths and limitations of various evaluation techniques including but not limited to present worth evaluation, equivalent annual worth, rate of return, cost-benefit analysis</w:t>
      </w:r>
    </w:p>
    <w:p w:rsidR="00CE3109" w:rsidRDefault="00CE3109">
      <w:pPr>
        <w:numPr>
          <w:ilvl w:val="0"/>
          <w:numId w:val="5"/>
        </w:numPr>
      </w:pPr>
      <w:r>
        <w:t>Be able to compare projects using benefit-cost ratios.</w:t>
      </w:r>
    </w:p>
    <w:p w:rsidR="00CE3109" w:rsidRDefault="00CE3109">
      <w:pPr>
        <w:numPr>
          <w:ilvl w:val="0"/>
          <w:numId w:val="5"/>
        </w:numPr>
      </w:pPr>
      <w:r>
        <w:t>Be able to design and a cost-benefit analysis problem.</w:t>
      </w:r>
    </w:p>
    <w:p w:rsidR="00CE3109" w:rsidRDefault="00CE3109">
      <w:pPr>
        <w:numPr>
          <w:ilvl w:val="0"/>
          <w:numId w:val="5"/>
        </w:numPr>
      </w:pPr>
      <w:r>
        <w:t>Be able to describe techniques available to place values on all costs and benefits/</w:t>
      </w:r>
      <w:proofErr w:type="spellStart"/>
      <w:r>
        <w:t>disbenefits</w:t>
      </w:r>
      <w:proofErr w:type="spellEnd"/>
      <w:r>
        <w:t>.</w:t>
      </w:r>
    </w:p>
    <w:p w:rsidR="00CE3109" w:rsidRDefault="00CE3109">
      <w:pPr>
        <w:numPr>
          <w:ilvl w:val="0"/>
          <w:numId w:val="5"/>
        </w:numPr>
      </w:pPr>
      <w:r>
        <w:t>Be able to explain the importance of sensitivity analysis and apply it.</w:t>
      </w:r>
    </w:p>
    <w:p w:rsidR="00CE3109" w:rsidRDefault="00CE3109">
      <w:pPr>
        <w:numPr>
          <w:ilvl w:val="0"/>
          <w:numId w:val="5"/>
        </w:numPr>
      </w:pPr>
      <w:r>
        <w:t>Be able to formulate and design a Multi-attribute Utility theory model.</w:t>
      </w:r>
    </w:p>
    <w:p w:rsidR="00CE3109" w:rsidRDefault="00CE3109">
      <w:pPr>
        <w:numPr>
          <w:ilvl w:val="0"/>
          <w:numId w:val="5"/>
        </w:numPr>
      </w:pPr>
      <w:r>
        <w:t>Be able to apply any of the non-compensatory models described in chapter nine.</w:t>
      </w:r>
    </w:p>
    <w:p w:rsidR="00CE3109" w:rsidRDefault="00CE3109">
      <w:pPr>
        <w:numPr>
          <w:ilvl w:val="0"/>
          <w:numId w:val="5"/>
        </w:numPr>
      </w:pPr>
      <w:r>
        <w:t>Be able to compare and contrast compensatory and non-compensatory models.</w:t>
      </w:r>
    </w:p>
    <w:p w:rsidR="00CE3109" w:rsidRDefault="00CE3109">
      <w:pPr>
        <w:numPr>
          <w:ilvl w:val="0"/>
          <w:numId w:val="5"/>
        </w:numPr>
      </w:pPr>
      <w:r>
        <w:t>Be able to construct a decision tree and use it to select an optimal strategy.</w:t>
      </w:r>
    </w:p>
    <w:p w:rsidR="00CE3109" w:rsidRDefault="00CE3109">
      <w:pPr>
        <w:numPr>
          <w:ilvl w:val="0"/>
          <w:numId w:val="5"/>
        </w:numPr>
      </w:pPr>
      <w:r>
        <w:t xml:space="preserve">Be able to determine the veracity of descriptions pertaining to the </w:t>
      </w:r>
      <w:proofErr w:type="spellStart"/>
      <w:r>
        <w:t>multicriteria</w:t>
      </w:r>
      <w:proofErr w:type="spellEnd"/>
      <w:r>
        <w:t xml:space="preserve"> models: Simple Additive Weighting, Analytic Hierarchy Process and concordance techniques.</w:t>
      </w:r>
    </w:p>
    <w:p w:rsidR="00CE3109" w:rsidRDefault="00CE3109">
      <w:pPr>
        <w:numPr>
          <w:ilvl w:val="0"/>
          <w:numId w:val="5"/>
        </w:numPr>
      </w:pPr>
      <w:r>
        <w:t>Be able to apply sensitivity analysis to the Simple Additive Weighting Method.</w:t>
      </w:r>
    </w:p>
    <w:p w:rsidR="00CE3109" w:rsidRDefault="00CE3109">
      <w:pPr>
        <w:numPr>
          <w:ilvl w:val="0"/>
          <w:numId w:val="5"/>
        </w:numPr>
      </w:pPr>
      <w:r>
        <w:t>Be able to assign weights to the decision criteria for the Simple Additive Weighting Method.</w:t>
      </w:r>
    </w:p>
    <w:p w:rsidR="00CE3109" w:rsidRDefault="00CE3109">
      <w:pPr>
        <w:numPr>
          <w:ilvl w:val="0"/>
          <w:numId w:val="5"/>
        </w:numPr>
      </w:pPr>
      <w:r>
        <w:t xml:space="preserve">Be able to compare and contrast the </w:t>
      </w:r>
      <w:proofErr w:type="spellStart"/>
      <w:r>
        <w:t>multicriteria</w:t>
      </w:r>
      <w:proofErr w:type="spellEnd"/>
      <w:r>
        <w:t xml:space="preserve"> models: Simple Additive Weighting, Analytic Hierarchy Process and concordance techniques.</w:t>
      </w:r>
    </w:p>
    <w:p w:rsidR="00CE3109" w:rsidRDefault="00CE3109">
      <w:pPr>
        <w:numPr>
          <w:ilvl w:val="0"/>
          <w:numId w:val="5"/>
        </w:numPr>
      </w:pPr>
      <w:r>
        <w:t>Be able to describe the importance of criteria scoring systems for the Simple Additive Weighting Method.</w:t>
      </w:r>
    </w:p>
    <w:p w:rsidR="00CE3109" w:rsidRDefault="00CE3109">
      <w:pPr>
        <w:numPr>
          <w:ilvl w:val="0"/>
          <w:numId w:val="5"/>
        </w:numPr>
      </w:pPr>
      <w:r>
        <w:t>Be able to formulate and apply the Simple Additive Weighting Method.</w:t>
      </w:r>
    </w:p>
    <w:p w:rsidR="00CE3109" w:rsidRDefault="00CE3109">
      <w:pPr>
        <w:numPr>
          <w:ilvl w:val="0"/>
          <w:numId w:val="5"/>
        </w:numPr>
      </w:pPr>
      <w:r>
        <w:t xml:space="preserve">Be able to describe and explain </w:t>
      </w:r>
      <w:proofErr w:type="spellStart"/>
      <w:r>
        <w:t>Saaty’s</w:t>
      </w:r>
      <w:proofErr w:type="spellEnd"/>
      <w:r>
        <w:t xml:space="preserve"> nine-point comparison scale.</w:t>
      </w:r>
    </w:p>
    <w:p w:rsidR="00CE3109" w:rsidRDefault="00CE3109">
      <w:pPr>
        <w:numPr>
          <w:ilvl w:val="0"/>
          <w:numId w:val="5"/>
        </w:numPr>
      </w:pPr>
      <w:r>
        <w:t>Be able to formulate and apply the Analytic Hierarchy Process.</w:t>
      </w:r>
    </w:p>
    <w:p w:rsidR="00CE3109" w:rsidRDefault="00CE3109">
      <w:pPr>
        <w:numPr>
          <w:ilvl w:val="0"/>
          <w:numId w:val="5"/>
        </w:numPr>
      </w:pPr>
      <w:r>
        <w:t>Be able to explain the definition and importance of a consistency index.</w:t>
      </w:r>
    </w:p>
    <w:p w:rsidR="00CE3109" w:rsidRDefault="00CE3109">
      <w:pPr>
        <w:numPr>
          <w:ilvl w:val="0"/>
          <w:numId w:val="5"/>
        </w:numPr>
      </w:pPr>
      <w:r>
        <w:t>Be able to formulate and apply PROMETHEE and ELECTRE</w:t>
      </w:r>
    </w:p>
    <w:p w:rsidR="00CE3109" w:rsidRDefault="00CE3109">
      <w:pPr>
        <w:numPr>
          <w:ilvl w:val="0"/>
          <w:numId w:val="5"/>
        </w:numPr>
      </w:pPr>
      <w:r>
        <w:t>Be able to explain preference and indifference.</w:t>
      </w:r>
    </w:p>
    <w:p w:rsidR="00CE3109" w:rsidRDefault="00CE3109">
      <w:pPr>
        <w:numPr>
          <w:ilvl w:val="0"/>
          <w:numId w:val="5"/>
        </w:numPr>
      </w:pPr>
      <w:r>
        <w:t>Be able to critically assess journal articles.</w:t>
      </w:r>
    </w:p>
    <w:p w:rsidR="00CE3109" w:rsidRDefault="00CE3109">
      <w:pPr>
        <w:numPr>
          <w:ilvl w:val="0"/>
          <w:numId w:val="5"/>
        </w:numPr>
      </w:pPr>
      <w:r>
        <w:t>Any additional objectives derived from student projects and contemporary issues.</w:t>
      </w:r>
    </w:p>
    <w:sectPr w:rsidR="00CE3109" w:rsidSect="00AA0F35">
      <w:pgSz w:w="12240" w:h="15840"/>
      <w:pgMar w:top="1260" w:right="1440" w:bottom="12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561"/>
    <w:multiLevelType w:val="singleLevel"/>
    <w:tmpl w:val="2BD63ABC"/>
    <w:lvl w:ilvl="0">
      <w:start w:val="5"/>
      <w:numFmt w:val="decimal"/>
      <w:lvlText w:val="%1."/>
      <w:lvlJc w:val="left"/>
      <w:pPr>
        <w:tabs>
          <w:tab w:val="num" w:pos="2520"/>
        </w:tabs>
        <w:ind w:left="2520" w:hanging="360"/>
      </w:pPr>
      <w:rPr>
        <w:rFonts w:hint="default"/>
      </w:rPr>
    </w:lvl>
  </w:abstractNum>
  <w:abstractNum w:abstractNumId="1" w15:restartNumberingAfterBreak="0">
    <w:nsid w:val="0D1A636C"/>
    <w:multiLevelType w:val="singleLevel"/>
    <w:tmpl w:val="F552D156"/>
    <w:lvl w:ilvl="0">
      <w:start w:val="2"/>
      <w:numFmt w:val="decimal"/>
      <w:lvlText w:val="%1."/>
      <w:lvlJc w:val="left"/>
      <w:pPr>
        <w:tabs>
          <w:tab w:val="num" w:pos="2520"/>
        </w:tabs>
        <w:ind w:left="2520" w:hanging="360"/>
      </w:pPr>
      <w:rPr>
        <w:rFonts w:hint="default"/>
      </w:rPr>
    </w:lvl>
  </w:abstractNum>
  <w:abstractNum w:abstractNumId="2" w15:restartNumberingAfterBreak="0">
    <w:nsid w:val="14CA4B25"/>
    <w:multiLevelType w:val="hybridMultilevel"/>
    <w:tmpl w:val="1BEC7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77C2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D8407F"/>
    <w:multiLevelType w:val="singleLevel"/>
    <w:tmpl w:val="08002EAA"/>
    <w:lvl w:ilvl="0">
      <w:start w:val="2"/>
      <w:numFmt w:val="decimal"/>
      <w:lvlText w:val="%1."/>
      <w:lvlJc w:val="left"/>
      <w:pPr>
        <w:tabs>
          <w:tab w:val="num" w:pos="2520"/>
        </w:tabs>
        <w:ind w:left="2520" w:hanging="360"/>
      </w:pPr>
      <w:rPr>
        <w:rFonts w:hint="default"/>
      </w:rPr>
    </w:lvl>
  </w:abstractNum>
  <w:abstractNum w:abstractNumId="5" w15:restartNumberingAfterBreak="0">
    <w:nsid w:val="45063EB0"/>
    <w:multiLevelType w:val="hybridMultilevel"/>
    <w:tmpl w:val="4000A91A"/>
    <w:lvl w:ilvl="0" w:tplc="5406D9B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2634A2"/>
    <w:multiLevelType w:val="singleLevel"/>
    <w:tmpl w:val="C70E222C"/>
    <w:lvl w:ilvl="0">
      <w:start w:val="5"/>
      <w:numFmt w:val="decimal"/>
      <w:lvlText w:val="%1."/>
      <w:lvlJc w:val="left"/>
      <w:pPr>
        <w:tabs>
          <w:tab w:val="num" w:pos="2520"/>
        </w:tabs>
        <w:ind w:left="2520" w:hanging="360"/>
      </w:pPr>
      <w:rPr>
        <w:rFonts w:hint="default"/>
      </w:rPr>
    </w:lvl>
  </w:abstractNum>
  <w:abstractNum w:abstractNumId="7" w15:restartNumberingAfterBreak="0">
    <w:nsid w:val="70A77CAA"/>
    <w:multiLevelType w:val="hybridMultilevel"/>
    <w:tmpl w:val="E5A69970"/>
    <w:lvl w:ilvl="0" w:tplc="36501DB6">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7A893245"/>
    <w:multiLevelType w:val="hybridMultilevel"/>
    <w:tmpl w:val="0D76C8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6"/>
  </w:num>
  <w:num w:numId="4">
    <w:abstractNumId w:val="0"/>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456"/>
    <w:rsid w:val="00010FA8"/>
    <w:rsid w:val="001E4BF8"/>
    <w:rsid w:val="001F3333"/>
    <w:rsid w:val="00262C36"/>
    <w:rsid w:val="00281467"/>
    <w:rsid w:val="003B74AD"/>
    <w:rsid w:val="00473600"/>
    <w:rsid w:val="0049274C"/>
    <w:rsid w:val="004C57CC"/>
    <w:rsid w:val="004D5FEE"/>
    <w:rsid w:val="004E2456"/>
    <w:rsid w:val="005128E6"/>
    <w:rsid w:val="005864C3"/>
    <w:rsid w:val="005B6C11"/>
    <w:rsid w:val="005B7FBB"/>
    <w:rsid w:val="0061345E"/>
    <w:rsid w:val="00680D17"/>
    <w:rsid w:val="0069725E"/>
    <w:rsid w:val="006B1107"/>
    <w:rsid w:val="00792185"/>
    <w:rsid w:val="007F1B20"/>
    <w:rsid w:val="0082712A"/>
    <w:rsid w:val="00851AD9"/>
    <w:rsid w:val="009D4D3D"/>
    <w:rsid w:val="00A11D62"/>
    <w:rsid w:val="00A21668"/>
    <w:rsid w:val="00A90CF1"/>
    <w:rsid w:val="00AA0F35"/>
    <w:rsid w:val="00AB78EE"/>
    <w:rsid w:val="00C079F3"/>
    <w:rsid w:val="00CE3109"/>
    <w:rsid w:val="00D24FD1"/>
    <w:rsid w:val="00DE6CDB"/>
    <w:rsid w:val="00E303A3"/>
    <w:rsid w:val="00E30AEF"/>
    <w:rsid w:val="00E72DBC"/>
    <w:rsid w:val="00F510E0"/>
    <w:rsid w:val="00FA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A2F9A-E85B-43B4-896B-C02171A7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spacing w:line="360" w:lineRule="auto"/>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Indent">
    <w:name w:val="Body Text Indent"/>
    <w:basedOn w:val="Normal"/>
    <w:link w:val="BodyTextIndentChar"/>
    <w:semiHidden/>
    <w:pPr>
      <w:ind w:left="2160" w:hanging="2160"/>
    </w:pPr>
  </w:style>
  <w:style w:type="paragraph" w:styleId="BodyTextIndent2">
    <w:name w:val="Body Text Indent 2"/>
    <w:basedOn w:val="Normal"/>
    <w:semiHidden/>
    <w:pPr>
      <w:ind w:left="2520" w:hanging="360"/>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Pr>
      <w:rFonts w:ascii="Tahoma" w:hAnsi="Tahoma" w:cs="Tahoma"/>
      <w:sz w:val="16"/>
      <w:szCs w:val="16"/>
    </w:rPr>
  </w:style>
  <w:style w:type="character" w:styleId="Hyperlink">
    <w:name w:val="Hyperlink"/>
    <w:uiPriority w:val="99"/>
    <w:semiHidden/>
    <w:rPr>
      <w:color w:val="0000FF"/>
      <w:u w:val="single"/>
    </w:rPr>
  </w:style>
  <w:style w:type="paragraph" w:styleId="NormalWeb">
    <w:name w:val="Normal (Web)"/>
    <w:basedOn w:val="Normal"/>
    <w:uiPriority w:val="99"/>
    <w:unhideWhenUsed/>
    <w:rsid w:val="004E2456"/>
    <w:pPr>
      <w:spacing w:before="100" w:beforeAutospacing="1" w:after="100" w:afterAutospacing="1"/>
    </w:pPr>
    <w:rPr>
      <w:szCs w:val="24"/>
      <w:lang w:eastAsia="zh-CN"/>
    </w:rPr>
  </w:style>
  <w:style w:type="paragraph" w:customStyle="1" w:styleId="Default">
    <w:name w:val="Default"/>
    <w:basedOn w:val="Normal"/>
    <w:uiPriority w:val="99"/>
    <w:rsid w:val="004E2456"/>
    <w:pPr>
      <w:autoSpaceDE w:val="0"/>
      <w:autoSpaceDN w:val="0"/>
    </w:pPr>
    <w:rPr>
      <w:rFonts w:eastAsia="SimSun"/>
      <w:color w:val="000000"/>
      <w:szCs w:val="24"/>
      <w:lang w:eastAsia="zh-CN"/>
    </w:rPr>
  </w:style>
  <w:style w:type="character" w:styleId="Strong">
    <w:name w:val="Strong"/>
    <w:uiPriority w:val="22"/>
    <w:qFormat/>
    <w:rsid w:val="004E2456"/>
    <w:rPr>
      <w:b/>
      <w:bCs/>
    </w:rPr>
  </w:style>
  <w:style w:type="character" w:customStyle="1" w:styleId="BodyTextIndentChar">
    <w:name w:val="Body Text Indent Char"/>
    <w:link w:val="BodyTextIndent"/>
    <w:semiHidden/>
    <w:rsid w:val="00DE6CDB"/>
    <w:rPr>
      <w:sz w:val="24"/>
    </w:rPr>
  </w:style>
  <w:style w:type="character" w:styleId="CommentReference">
    <w:name w:val="annotation reference"/>
    <w:uiPriority w:val="99"/>
    <w:semiHidden/>
    <w:unhideWhenUsed/>
    <w:rsid w:val="00D24FD1"/>
    <w:rPr>
      <w:sz w:val="16"/>
      <w:szCs w:val="16"/>
    </w:rPr>
  </w:style>
  <w:style w:type="paragraph" w:styleId="CommentText">
    <w:name w:val="annotation text"/>
    <w:basedOn w:val="Normal"/>
    <w:link w:val="CommentTextChar"/>
    <w:uiPriority w:val="99"/>
    <w:semiHidden/>
    <w:unhideWhenUsed/>
    <w:rsid w:val="00D24FD1"/>
    <w:rPr>
      <w:sz w:val="20"/>
    </w:rPr>
  </w:style>
  <w:style w:type="character" w:customStyle="1" w:styleId="CommentTextChar">
    <w:name w:val="Comment Text Char"/>
    <w:basedOn w:val="DefaultParagraphFont"/>
    <w:link w:val="CommentText"/>
    <w:uiPriority w:val="99"/>
    <w:semiHidden/>
    <w:rsid w:val="00D24FD1"/>
  </w:style>
  <w:style w:type="paragraph" w:styleId="CommentSubject">
    <w:name w:val="annotation subject"/>
    <w:basedOn w:val="CommentText"/>
    <w:next w:val="CommentText"/>
    <w:link w:val="CommentSubjectChar"/>
    <w:uiPriority w:val="99"/>
    <w:semiHidden/>
    <w:unhideWhenUsed/>
    <w:rsid w:val="00D24FD1"/>
    <w:rPr>
      <w:b/>
      <w:bCs/>
    </w:rPr>
  </w:style>
  <w:style w:type="character" w:customStyle="1" w:styleId="CommentSubjectChar">
    <w:name w:val="Comment Subject Char"/>
    <w:link w:val="CommentSubject"/>
    <w:uiPriority w:val="99"/>
    <w:semiHidden/>
    <w:rsid w:val="00D24FD1"/>
    <w:rPr>
      <w:b/>
      <w:bCs/>
    </w:rPr>
  </w:style>
  <w:style w:type="character" w:customStyle="1" w:styleId="bidi">
    <w:name w:val="bidi"/>
    <w:rsid w:val="00A90CF1"/>
  </w:style>
  <w:style w:type="character" w:customStyle="1" w:styleId="currenthithighlight">
    <w:name w:val="currenthithighlight"/>
    <w:rsid w:val="00A90CF1"/>
  </w:style>
  <w:style w:type="character" w:customStyle="1" w:styleId="highlight">
    <w:name w:val="highlight"/>
    <w:rsid w:val="00A90CF1"/>
  </w:style>
  <w:style w:type="character" w:customStyle="1" w:styleId="Heading1Char">
    <w:name w:val="Heading 1 Char"/>
    <w:link w:val="Heading1"/>
    <w:rsid w:val="006B1107"/>
    <w:rPr>
      <w:b/>
      <w:sz w:val="24"/>
    </w:rPr>
  </w:style>
  <w:style w:type="character" w:customStyle="1" w:styleId="Heading3Char">
    <w:name w:val="Heading 3 Char"/>
    <w:link w:val="Heading3"/>
    <w:rsid w:val="006B1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69504">
      <w:bodyDiv w:val="1"/>
      <w:marLeft w:val="0"/>
      <w:marRight w:val="0"/>
      <w:marTop w:val="0"/>
      <w:marBottom w:val="0"/>
      <w:divBdr>
        <w:top w:val="none" w:sz="0" w:space="0" w:color="auto"/>
        <w:left w:val="none" w:sz="0" w:space="0" w:color="auto"/>
        <w:bottom w:val="none" w:sz="0" w:space="0" w:color="auto"/>
        <w:right w:val="none" w:sz="0" w:space="0" w:color="auto"/>
      </w:divBdr>
    </w:div>
    <w:div w:id="563873887">
      <w:bodyDiv w:val="1"/>
      <w:marLeft w:val="0"/>
      <w:marRight w:val="0"/>
      <w:marTop w:val="0"/>
      <w:marBottom w:val="0"/>
      <w:divBdr>
        <w:top w:val="none" w:sz="0" w:space="0" w:color="auto"/>
        <w:left w:val="none" w:sz="0" w:space="0" w:color="auto"/>
        <w:bottom w:val="none" w:sz="0" w:space="0" w:color="auto"/>
        <w:right w:val="none" w:sz="0" w:space="0" w:color="auto"/>
      </w:divBdr>
    </w:div>
    <w:div w:id="714087059">
      <w:bodyDiv w:val="1"/>
      <w:marLeft w:val="0"/>
      <w:marRight w:val="0"/>
      <w:marTop w:val="0"/>
      <w:marBottom w:val="0"/>
      <w:divBdr>
        <w:top w:val="none" w:sz="0" w:space="0" w:color="auto"/>
        <w:left w:val="none" w:sz="0" w:space="0" w:color="auto"/>
        <w:bottom w:val="none" w:sz="0" w:space="0" w:color="auto"/>
        <w:right w:val="none" w:sz="0" w:space="0" w:color="auto"/>
      </w:divBdr>
    </w:div>
    <w:div w:id="1012537812">
      <w:bodyDiv w:val="1"/>
      <w:marLeft w:val="0"/>
      <w:marRight w:val="0"/>
      <w:marTop w:val="0"/>
      <w:marBottom w:val="0"/>
      <w:divBdr>
        <w:top w:val="none" w:sz="0" w:space="0" w:color="auto"/>
        <w:left w:val="none" w:sz="0" w:space="0" w:color="auto"/>
        <w:bottom w:val="none" w:sz="0" w:space="0" w:color="auto"/>
        <w:right w:val="none" w:sz="0" w:space="0" w:color="auto"/>
      </w:divBdr>
    </w:div>
    <w:div w:id="1376587188">
      <w:bodyDiv w:val="1"/>
      <w:marLeft w:val="0"/>
      <w:marRight w:val="0"/>
      <w:marTop w:val="0"/>
      <w:marBottom w:val="0"/>
      <w:divBdr>
        <w:top w:val="none" w:sz="0" w:space="0" w:color="auto"/>
        <w:left w:val="none" w:sz="0" w:space="0" w:color="auto"/>
        <w:bottom w:val="none" w:sz="0" w:space="0" w:color="auto"/>
        <w:right w:val="none" w:sz="0" w:space="0" w:color="auto"/>
      </w:divBdr>
    </w:div>
    <w:div w:id="1533809559">
      <w:bodyDiv w:val="1"/>
      <w:marLeft w:val="0"/>
      <w:marRight w:val="0"/>
      <w:marTop w:val="0"/>
      <w:marBottom w:val="0"/>
      <w:divBdr>
        <w:top w:val="none" w:sz="0" w:space="0" w:color="auto"/>
        <w:left w:val="none" w:sz="0" w:space="0" w:color="auto"/>
        <w:bottom w:val="none" w:sz="0" w:space="0" w:color="auto"/>
        <w:right w:val="none" w:sz="0" w:space="0" w:color="auto"/>
      </w:divBdr>
    </w:div>
    <w:div w:id="1552423860">
      <w:bodyDiv w:val="1"/>
      <w:marLeft w:val="0"/>
      <w:marRight w:val="0"/>
      <w:marTop w:val="0"/>
      <w:marBottom w:val="0"/>
      <w:divBdr>
        <w:top w:val="none" w:sz="0" w:space="0" w:color="auto"/>
        <w:left w:val="none" w:sz="0" w:space="0" w:color="auto"/>
        <w:bottom w:val="none" w:sz="0" w:space="0" w:color="auto"/>
        <w:right w:val="none" w:sz="0" w:space="0" w:color="auto"/>
      </w:divBdr>
    </w:div>
    <w:div w:id="1560092044">
      <w:bodyDiv w:val="1"/>
      <w:marLeft w:val="0"/>
      <w:marRight w:val="0"/>
      <w:marTop w:val="0"/>
      <w:marBottom w:val="0"/>
      <w:divBdr>
        <w:top w:val="none" w:sz="0" w:space="0" w:color="auto"/>
        <w:left w:val="none" w:sz="0" w:space="0" w:color="auto"/>
        <w:bottom w:val="none" w:sz="0" w:space="0" w:color="auto"/>
        <w:right w:val="none" w:sz="0" w:space="0" w:color="auto"/>
      </w:divBdr>
    </w:div>
    <w:div w:id="1587686580">
      <w:bodyDiv w:val="1"/>
      <w:marLeft w:val="0"/>
      <w:marRight w:val="0"/>
      <w:marTop w:val="0"/>
      <w:marBottom w:val="0"/>
      <w:divBdr>
        <w:top w:val="none" w:sz="0" w:space="0" w:color="auto"/>
        <w:left w:val="none" w:sz="0" w:space="0" w:color="auto"/>
        <w:bottom w:val="none" w:sz="0" w:space="0" w:color="auto"/>
        <w:right w:val="none" w:sz="0" w:space="0" w:color="auto"/>
      </w:divBdr>
    </w:div>
    <w:div w:id="20807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sfs" TargetMode="External"/><Relationship Id="rId13" Type="http://schemas.openxmlformats.org/officeDocument/2006/relationships/hyperlink" Target="http://www.uta.edu/universitycollege/resources/college-based-clinics-labs.php" TargetMode="External"/><Relationship Id="rId18" Type="http://schemas.openxmlformats.org/officeDocument/2006/relationships/hyperlink" Target="mailto:IDEAS@ut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brary.uta.edu/staff/martin-wallace" TargetMode="External"/><Relationship Id="rId7" Type="http://schemas.openxmlformats.org/officeDocument/2006/relationships/hyperlink" Target="http://www.uta.edu/news/info/campus-carry/" TargetMode="External"/><Relationship Id="rId12"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index.php" TargetMode="External"/><Relationship Id="rId25" Type="http://schemas.openxmlformats.org/officeDocument/2006/relationships/hyperlink" Target="file:///E:\jmhood@uta.edu"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library.uta.edu/academic-plaza" TargetMode="External"/><Relationship Id="rId1" Type="http://schemas.openxmlformats.org/officeDocument/2006/relationships/numbering" Target="numbering.xml"/><Relationship Id="rId6" Type="http://schemas.openxmlformats.org/officeDocument/2006/relationships/hyperlink" Target="http://www.uta.edu/oit/cs/email/mavmail.php" TargetMode="External"/><Relationship Id="rId11" Type="http://schemas.openxmlformats.org/officeDocument/2006/relationships/hyperlink" Target="http://www.uta.edu/caps/" TargetMode="External"/><Relationship Id="rId24" Type="http://schemas.openxmlformats.org/officeDocument/2006/relationships/hyperlink" Target="http://www.uta.edu/titleIX" TargetMode="External"/><Relationship Id="rId5" Type="http://schemas.openxmlformats.org/officeDocument/2006/relationships/hyperlink" Target="http://wweb.uta.edu/ses/fao" TargetMode="External"/><Relationship Id="rId15" Type="http://schemas.openxmlformats.org/officeDocument/2006/relationships/hyperlink" Target="http://www.uta.edu/universitycollege/current/academic-support/mcnair/index.php" TargetMode="External"/><Relationship Id="rId23" Type="http://schemas.openxmlformats.org/officeDocument/2006/relationships/hyperlink" Target="http://www.uta.edu/hr/eos/index.php" TargetMode="External"/><Relationship Id="rId10" Type="http://schemas.openxmlformats.org/officeDocument/2006/relationships/hyperlink" Target="http://www.uta.edu/disability" TargetMode="External"/><Relationship Id="rId19"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universitycollege/resources/advising.php" TargetMode="External"/><Relationship Id="rId22" Type="http://schemas.openxmlformats.org/officeDocument/2006/relationships/hyperlink" Target="http://library.uta.edu/node/12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8</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ESM 620: Statistics for ESM</vt:lpstr>
    </vt:vector>
  </TitlesOfParts>
  <Company>University of Alaska, Fairbanks</Company>
  <LinksUpToDate>false</LinksUpToDate>
  <CharactersWithSpaces>20642</CharactersWithSpaces>
  <SharedDoc>false</SharedDoc>
  <HLinks>
    <vt:vector size="36" baseType="variant">
      <vt:variant>
        <vt:i4>3080231</vt:i4>
      </vt:variant>
      <vt:variant>
        <vt:i4>15</vt:i4>
      </vt:variant>
      <vt:variant>
        <vt:i4>0</vt:i4>
      </vt:variant>
      <vt:variant>
        <vt:i4>5</vt:i4>
      </vt:variant>
      <vt:variant>
        <vt:lpwstr>http://www.uta.edu/sfs</vt:lpwstr>
      </vt:variant>
      <vt:variant>
        <vt:lpwstr/>
      </vt: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2949246</vt:i4>
      </vt:variant>
      <vt:variant>
        <vt:i4>0</vt:i4>
      </vt:variant>
      <vt:variant>
        <vt:i4>0</vt:i4>
      </vt:variant>
      <vt:variant>
        <vt:i4>5</vt:i4>
      </vt:variant>
      <vt:variant>
        <vt:lpwstr>http://wweb.uta.edu/ses/fao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620: Statistics for ESM</dc:title>
  <dc:creator>Don Mattingly</dc:creator>
  <cp:lastModifiedBy>Embassy Row Guest</cp:lastModifiedBy>
  <cp:revision>18</cp:revision>
  <cp:lastPrinted>2017-01-13T21:42:00Z</cp:lastPrinted>
  <dcterms:created xsi:type="dcterms:W3CDTF">2016-01-18T07:12:00Z</dcterms:created>
  <dcterms:modified xsi:type="dcterms:W3CDTF">2019-01-14T02:26:00Z</dcterms:modified>
</cp:coreProperties>
</file>