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8E92C" w14:textId="77777777" w:rsidR="007F5767" w:rsidRDefault="007F5767" w:rsidP="007F5767">
      <w:pPr>
        <w:rPr>
          <w:rFonts w:asciiTheme="minorHAnsi" w:hAnsiTheme="minorHAnsi"/>
          <w:sz w:val="20"/>
          <w:szCs w:val="20"/>
        </w:rPr>
      </w:pPr>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05A49D17" w:rsidR="007F5767" w:rsidRPr="00F61B9B" w:rsidRDefault="007F5767" w:rsidP="63BA48A4">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2019</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0F46F9A9" w:rsidR="007F5767" w:rsidRPr="009A6DA4" w:rsidRDefault="7CA6633A" w:rsidP="7CA6633A">
      <w:pPr>
        <w:pStyle w:val="PlainText"/>
        <w:rPr>
          <w:rFonts w:asciiTheme="minorHAnsi" w:hAnsiTheme="minorHAnsi" w:cs="Arial"/>
        </w:rPr>
      </w:pPr>
      <w:r w:rsidRPr="7CA6633A">
        <w:rPr>
          <w:rFonts w:asciiTheme="minorHAnsi" w:hAnsiTheme="minorHAnsi" w:cs="Arial"/>
          <w:b/>
          <w:bCs/>
        </w:rPr>
        <w:t>Course Information</w:t>
      </w:r>
      <w:r w:rsidRPr="7CA6633A">
        <w:rPr>
          <w:rFonts w:asciiTheme="minorHAnsi" w:hAnsiTheme="minorHAnsi" w:cs="Arial"/>
        </w:rPr>
        <w:t>:  1302  0</w:t>
      </w:r>
      <w:r w:rsidR="0003752C">
        <w:rPr>
          <w:rFonts w:asciiTheme="minorHAnsi" w:hAnsiTheme="minorHAnsi" w:cs="Arial"/>
        </w:rPr>
        <w:t>70</w:t>
      </w:r>
      <w:bookmarkStart w:id="0" w:name="_GoBack"/>
      <w:bookmarkEnd w:id="0"/>
      <w:r w:rsidRPr="7CA6633A">
        <w:rPr>
          <w:rFonts w:asciiTheme="minorHAnsi" w:hAnsiTheme="minorHAnsi" w:cs="Arial"/>
          <w:color w:val="FF0000"/>
        </w:rPr>
        <w:t>–MWF 9-9:50 –Preston Hall 200</w:t>
      </w:r>
    </w:p>
    <w:p w14:paraId="31D3CF5F" w14:textId="68FB3220" w:rsidR="007F5767" w:rsidRPr="009A6DA4" w:rsidRDefault="63BA48A4" w:rsidP="63BA48A4">
      <w:pPr>
        <w:pStyle w:val="PlainText"/>
        <w:rPr>
          <w:rFonts w:asciiTheme="minorHAnsi" w:hAnsiTheme="minorHAnsi" w:cs="Arial"/>
          <w:color w:val="FF0000"/>
        </w:rPr>
      </w:pPr>
      <w:r w:rsidRPr="63BA48A4">
        <w:rPr>
          <w:rFonts w:asciiTheme="minorHAnsi" w:hAnsiTheme="minorHAnsi" w:cs="Arial"/>
          <w:b/>
          <w:bCs/>
        </w:rPr>
        <w:t>Office/Hours</w:t>
      </w:r>
      <w:r w:rsidRPr="63BA48A4">
        <w:rPr>
          <w:rFonts w:asciiTheme="minorHAnsi" w:hAnsiTheme="minorHAnsi" w:cs="Arial"/>
        </w:rPr>
        <w:t>: Preston Hall 201  M W F 10:30 ---11:30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0D482301" w:rsidR="007F5767" w:rsidRPr="00DF09F7" w:rsidRDefault="007F5767" w:rsidP="63BA48A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02/11</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053DD605"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03/04</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5F53745D"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ue04/05</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42E34F2" w:rsidR="007F576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05/03</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47A85FA5" w:rsidR="007F5767" w:rsidRPr="004E7EC6" w:rsidRDefault="007F5767" w:rsidP="63BA48A4">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Work10</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5B1547E8" w:rsidR="007F5767" w:rsidRPr="004E7EC6" w:rsidRDefault="63BA48A4" w:rsidP="63BA48A4">
      <w:pPr>
        <w:tabs>
          <w:tab w:val="left" w:pos="240"/>
        </w:tabs>
        <w:suppressAutoHyphens/>
        <w:rPr>
          <w:rFonts w:asciiTheme="minorHAnsi" w:hAnsiTheme="minorHAnsi"/>
          <w:sz w:val="20"/>
          <w:szCs w:val="20"/>
        </w:rPr>
      </w:pPr>
      <w:r w:rsidRPr="63BA48A4">
        <w:rPr>
          <w:rFonts w:asciiTheme="minorHAnsi" w:hAnsiTheme="minorHAnsi"/>
          <w:sz w:val="20"/>
          <w:szCs w:val="20"/>
        </w:rPr>
        <w:t>Journal 5%</w:t>
      </w: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lastRenderedPageBreak/>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BA48A4">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5DCA1679" w:rsidR="008F492D" w:rsidRPr="00FE7557" w:rsidRDefault="008F492D" w:rsidP="63BA48A4">
            <w:pPr>
              <w:jc w:val="center"/>
              <w:rPr>
                <w:rFonts w:ascii="Calibri" w:eastAsia="Calibri" w:hAnsi="Calibri" w:cs="Calibri"/>
                <w:sz w:val="20"/>
                <w:szCs w:val="20"/>
              </w:rPr>
            </w:pPr>
          </w:p>
          <w:p w14:paraId="768E9747" w14:textId="57CBF9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1/14</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BA48A4">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79A86FA0" w14:textId="2C2C634D"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1/16</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51071A9C" w:rsidR="008F492D" w:rsidRPr="000113D9" w:rsidRDefault="008F492D" w:rsidP="63BA48A4">
            <w:pPr>
              <w:rPr>
                <w:rFonts w:asciiTheme="minorHAnsi" w:eastAsiaTheme="minorEastAsia" w:hAnsiTheme="minorHAnsi" w:cstheme="minorBidi"/>
                <w:sz w:val="20"/>
                <w:szCs w:val="20"/>
              </w:rPr>
            </w:pP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BA48A4">
        <w:tc>
          <w:tcPr>
            <w:tcW w:w="695" w:type="dxa"/>
            <w:tcBorders>
              <w:top w:val="single" w:sz="4" w:space="0" w:color="auto"/>
              <w:left w:val="single" w:sz="4" w:space="0" w:color="auto"/>
              <w:bottom w:val="single" w:sz="4" w:space="0" w:color="auto"/>
              <w:right w:val="single" w:sz="4" w:space="0" w:color="auto"/>
            </w:tcBorders>
          </w:tcPr>
          <w:p w14:paraId="0D125175" w14:textId="76116A52"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6A4ACA3B" w14:textId="26032C76" w:rsidR="008F492D" w:rsidRPr="00FE7557" w:rsidRDefault="008F492D" w:rsidP="63BA48A4">
            <w:pPr>
              <w:jc w:val="center"/>
              <w:rPr>
                <w:rFonts w:ascii="Calibri" w:hAnsi="Calibri" w:cs="Arial"/>
                <w:sz w:val="20"/>
                <w:szCs w:val="20"/>
              </w:rPr>
            </w:pPr>
          </w:p>
          <w:p w14:paraId="1D3A9F16" w14:textId="675C0B40" w:rsidR="008F492D" w:rsidRPr="00FE7557" w:rsidRDefault="63BA48A4" w:rsidP="63BA48A4">
            <w:pPr>
              <w:jc w:val="center"/>
              <w:rPr>
                <w:rFonts w:ascii="Calibri" w:hAnsi="Calibri" w:cs="Arial"/>
                <w:sz w:val="20"/>
                <w:szCs w:val="20"/>
              </w:rPr>
            </w:pPr>
            <w:r w:rsidRPr="63BA48A4">
              <w:rPr>
                <w:rFonts w:ascii="Calibri" w:hAnsi="Calibri" w:cs="Arial"/>
                <w:sz w:val="20"/>
                <w:szCs w:val="20"/>
              </w:rPr>
              <w:t>1/18</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5D95FE" w:rsidR="00546DB0" w:rsidRPr="00FE7557" w:rsidRDefault="63BA48A4" w:rsidP="63BA48A4">
            <w:pPr>
              <w:rPr>
                <w:rFonts w:ascii="Calibri" w:hAnsi="Calibri"/>
                <w:sz w:val="20"/>
                <w:szCs w:val="20"/>
              </w:rPr>
            </w:pPr>
            <w:r w:rsidRPr="63BA48A4">
              <w:rPr>
                <w:rFonts w:ascii="Calibri" w:hAnsi="Calibri"/>
                <w:sz w:val="20"/>
                <w:szCs w:val="20"/>
              </w:rPr>
              <w:t xml:space="preserve">            Lincoln’s  Gettysburg Adress</w:t>
            </w: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BA48A4">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5C32B8BB" w:rsidR="008F492D" w:rsidRPr="00FE7557" w:rsidRDefault="008F492D" w:rsidP="63BA48A4">
            <w:pPr>
              <w:jc w:val="center"/>
              <w:rPr>
                <w:rFonts w:ascii="Calibri" w:eastAsia="Calibri" w:hAnsi="Calibri" w:cs="Calibri"/>
                <w:sz w:val="20"/>
                <w:szCs w:val="20"/>
              </w:rPr>
            </w:pPr>
          </w:p>
          <w:p w14:paraId="5E05711C" w14:textId="1495FB3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1/23</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BA48A4">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1174EB55" w:rsidR="008F492D" w:rsidRPr="00FE7557" w:rsidRDefault="008F492D" w:rsidP="63BA48A4">
            <w:pPr>
              <w:jc w:val="center"/>
              <w:rPr>
                <w:rFonts w:ascii="Calibri" w:eastAsia="Calibri" w:hAnsi="Calibri" w:cs="Calibri"/>
                <w:sz w:val="20"/>
                <w:szCs w:val="20"/>
              </w:rPr>
            </w:pPr>
          </w:p>
          <w:p w14:paraId="124D66EE" w14:textId="236B026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1/25</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BA48A4">
        <w:tc>
          <w:tcPr>
            <w:tcW w:w="695" w:type="dxa"/>
            <w:tcBorders>
              <w:top w:val="single" w:sz="4" w:space="0" w:color="auto"/>
              <w:left w:val="single" w:sz="4" w:space="0" w:color="auto"/>
              <w:bottom w:val="single" w:sz="4" w:space="0" w:color="auto"/>
              <w:right w:val="single" w:sz="4" w:space="0" w:color="auto"/>
            </w:tcBorders>
          </w:tcPr>
          <w:p w14:paraId="0F73FC60" w14:textId="78EA9CA8"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29EFF0" w:rsidR="008F492D" w:rsidRPr="00FE7557" w:rsidRDefault="008F492D" w:rsidP="63BA48A4">
            <w:pPr>
              <w:jc w:val="center"/>
              <w:rPr>
                <w:rFonts w:ascii="Calibri" w:eastAsia="Calibri" w:hAnsi="Calibri" w:cs="Calibri"/>
                <w:sz w:val="20"/>
                <w:szCs w:val="20"/>
              </w:rPr>
            </w:pPr>
          </w:p>
          <w:p w14:paraId="41353E27" w14:textId="6054AB9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1/28</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BA48A4">
        <w:tc>
          <w:tcPr>
            <w:tcW w:w="695" w:type="dxa"/>
            <w:tcBorders>
              <w:top w:val="single" w:sz="4" w:space="0" w:color="auto"/>
              <w:left w:val="single" w:sz="4" w:space="0" w:color="auto"/>
              <w:bottom w:val="single" w:sz="4" w:space="0" w:color="auto"/>
              <w:right w:val="single" w:sz="4" w:space="0" w:color="auto"/>
            </w:tcBorders>
          </w:tcPr>
          <w:p w14:paraId="10D37C41" w14:textId="77896653" w:rsidR="008F492D" w:rsidRPr="00FE7557" w:rsidRDefault="63BA48A4" w:rsidP="63BA48A4">
            <w:pPr>
              <w:jc w:val="center"/>
              <w:rPr>
                <w:rFonts w:ascii="Calibri" w:hAnsi="Calibri" w:cs="Arial"/>
                <w:b/>
                <w:bCs/>
                <w:sz w:val="20"/>
                <w:szCs w:val="20"/>
              </w:rPr>
            </w:pPr>
            <w:r w:rsidRPr="63BA48A4">
              <w:rPr>
                <w:rFonts w:ascii="Calibri" w:hAnsi="Calibri" w:cs="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74CC0CD4" w14:textId="79950DBA" w:rsidR="008F492D" w:rsidRPr="00C02EAD" w:rsidRDefault="63BA48A4" w:rsidP="63BA48A4">
            <w:pPr>
              <w:jc w:val="center"/>
              <w:rPr>
                <w:rFonts w:ascii="Calibri" w:hAnsi="Calibri" w:cs="Arial"/>
                <w:sz w:val="20"/>
                <w:szCs w:val="20"/>
              </w:rPr>
            </w:pPr>
            <w:r w:rsidRPr="63BA48A4">
              <w:rPr>
                <w:rFonts w:ascii="Calibri" w:hAnsi="Calibri" w:cs="Arial"/>
                <w:sz w:val="20"/>
                <w:szCs w:val="20"/>
              </w:rPr>
              <w:t>1/30</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BA48A4">
        <w:tc>
          <w:tcPr>
            <w:tcW w:w="695" w:type="dxa"/>
            <w:tcBorders>
              <w:top w:val="single" w:sz="4" w:space="0" w:color="auto"/>
              <w:left w:val="single" w:sz="4" w:space="0" w:color="auto"/>
              <w:bottom w:val="single" w:sz="4" w:space="0" w:color="auto"/>
              <w:right w:val="single" w:sz="4" w:space="0" w:color="auto"/>
            </w:tcBorders>
          </w:tcPr>
          <w:p w14:paraId="14F699FF" w14:textId="2DC4AFD5"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385ABC23" w14:textId="5FD6E252" w:rsidR="008F492D" w:rsidRPr="00C02EA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2/01</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BA48A4">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46CF35DB" w:rsidR="008F492D" w:rsidRPr="00FE7557" w:rsidRDefault="63BA48A4" w:rsidP="63BA48A4">
            <w:pPr>
              <w:jc w:val="center"/>
              <w:rPr>
                <w:rFonts w:ascii="Calibri" w:hAnsi="Calibri" w:cs="Arial"/>
                <w:sz w:val="20"/>
                <w:szCs w:val="20"/>
              </w:rPr>
            </w:pPr>
            <w:r w:rsidRPr="63BA48A4">
              <w:rPr>
                <w:rFonts w:ascii="Calibri" w:hAnsi="Calibri" w:cs="Arial"/>
                <w:sz w:val="20"/>
                <w:szCs w:val="20"/>
              </w:rPr>
              <w:t>2/4</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BA48A4">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1FE6FE87"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2/6</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BA48A4">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34DBF06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2/8</w:t>
            </w:r>
          </w:p>
        </w:tc>
        <w:tc>
          <w:tcPr>
            <w:tcW w:w="4485" w:type="dxa"/>
            <w:tcBorders>
              <w:top w:val="single" w:sz="4" w:space="0" w:color="auto"/>
              <w:left w:val="single" w:sz="4" w:space="0" w:color="auto"/>
              <w:bottom w:val="single" w:sz="4" w:space="0" w:color="auto"/>
              <w:right w:val="single" w:sz="4" w:space="0" w:color="auto"/>
            </w:tcBorders>
          </w:tcPr>
          <w:p w14:paraId="1C7D9E7F" w14:textId="3C944B99" w:rsidR="008F492D" w:rsidRPr="007E6959" w:rsidRDefault="63BA48A4" w:rsidP="63BA48A4">
            <w:pPr>
              <w:jc w:val="center"/>
              <w:rPr>
                <w:rFonts w:ascii="Calibri,Arial" w:eastAsia="Calibri,Arial" w:hAnsi="Calibri,Arial" w:cs="Calibri,Arial"/>
                <w:color w:val="FF0000"/>
                <w:sz w:val="20"/>
                <w:szCs w:val="20"/>
              </w:rPr>
            </w:pPr>
            <w:r w:rsidRPr="63BA48A4">
              <w:rPr>
                <w:rFonts w:ascii="Calibri,Arial" w:eastAsia="Calibri,Arial" w:hAnsi="Calibri,Arial" w:cs="Calibri,Arial"/>
                <w:color w:val="FF0000"/>
                <w:sz w:val="20"/>
                <w:szCs w:val="20"/>
              </w:rPr>
              <w:t>Conferences</w:t>
            </w:r>
          </w:p>
        </w:tc>
        <w:tc>
          <w:tcPr>
            <w:tcW w:w="3082" w:type="dxa"/>
            <w:tcBorders>
              <w:top w:val="single" w:sz="4" w:space="0" w:color="auto"/>
              <w:left w:val="single" w:sz="4" w:space="0" w:color="auto"/>
              <w:bottom w:val="single" w:sz="4" w:space="0" w:color="auto"/>
              <w:right w:val="single" w:sz="4" w:space="0" w:color="auto"/>
            </w:tcBorders>
          </w:tcPr>
          <w:p w14:paraId="1A362656" w14:textId="7FD4A5CB" w:rsidR="008F492D" w:rsidRPr="000113D9" w:rsidRDefault="008F492D" w:rsidP="63BA48A4">
            <w:pPr>
              <w:ind w:left="360"/>
              <w:rPr>
                <w:rFonts w:asciiTheme="minorHAnsi" w:hAnsiTheme="minorHAnsi"/>
                <w:sz w:val="20"/>
                <w:szCs w:val="20"/>
              </w:rPr>
            </w:pPr>
          </w:p>
        </w:tc>
      </w:tr>
      <w:tr w:rsidR="008F492D" w:rsidRPr="00FE7557" w14:paraId="5A5CBEE1" w14:textId="77777777" w:rsidTr="63BA48A4">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15268E5C" w:rsidR="008F492D" w:rsidRPr="00FE7557" w:rsidRDefault="008F492D" w:rsidP="63BA48A4">
            <w:pPr>
              <w:jc w:val="center"/>
              <w:rPr>
                <w:rFonts w:ascii="Calibri" w:hAnsi="Calibri" w:cs="Arial"/>
                <w:sz w:val="20"/>
                <w:szCs w:val="20"/>
              </w:rPr>
            </w:pPr>
          </w:p>
          <w:p w14:paraId="13182A50" w14:textId="7933FDE0" w:rsidR="008F492D" w:rsidRPr="00FE7557" w:rsidRDefault="63BA48A4" w:rsidP="63BA48A4">
            <w:pPr>
              <w:jc w:val="center"/>
              <w:rPr>
                <w:rFonts w:ascii="Calibri" w:hAnsi="Calibri" w:cs="Arial"/>
                <w:sz w:val="20"/>
                <w:szCs w:val="20"/>
              </w:rPr>
            </w:pPr>
            <w:r w:rsidRPr="63BA48A4">
              <w:rPr>
                <w:rFonts w:ascii="Calibri" w:hAnsi="Calibri" w:cs="Arial"/>
                <w:sz w:val="20"/>
                <w:szCs w:val="20"/>
              </w:rPr>
              <w:t>2/11</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56A370E7" w:rsidR="008F492D" w:rsidRPr="00DF6518" w:rsidRDefault="63BA48A4" w:rsidP="63BA48A4">
            <w:pPr>
              <w:rPr>
                <w:rFonts w:asciiTheme="minorHAnsi" w:eastAsiaTheme="minorEastAsia" w:hAnsiTheme="minorHAnsi" w:cstheme="minorBidi"/>
                <w:sz w:val="20"/>
                <w:szCs w:val="20"/>
              </w:rPr>
            </w:pPr>
            <w:r w:rsidRPr="63BA48A4">
              <w:rPr>
                <w:rFonts w:asciiTheme="minorHAnsi" w:eastAsiaTheme="minorEastAsia" w:hAnsiTheme="minorHAnsi" w:cstheme="minorBidi"/>
                <w:sz w:val="20"/>
                <w:szCs w:val="20"/>
              </w:rPr>
              <w:t>.Issue proposal Final Due</w:t>
            </w:r>
          </w:p>
        </w:tc>
      </w:tr>
      <w:tr w:rsidR="008F492D" w:rsidRPr="00FE7557" w14:paraId="73DABB6F" w14:textId="77777777" w:rsidTr="63BA48A4">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145308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2/13</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BA48A4">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8F07C03"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2/15</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6F24F8E6" w14:textId="4968C64B"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14:paraId="182C6067" w14:textId="757CFAFF" w:rsidR="008F492D" w:rsidRPr="00FE7557" w:rsidRDefault="008F492D" w:rsidP="63BA48A4">
            <w:pPr>
              <w:jc w:val="center"/>
              <w:rPr>
                <w:rFonts w:ascii="Calibri" w:eastAsia="Calibri" w:hAnsi="Calibri" w:cs="Calibri"/>
                <w:sz w:val="20"/>
                <w:szCs w:val="20"/>
              </w:rPr>
            </w:pPr>
          </w:p>
          <w:p w14:paraId="1A56E383" w14:textId="22901B5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2/18</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5A7714F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2/20</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BA48A4">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3B81F6FC"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2/22</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BA48A4">
        <w:tc>
          <w:tcPr>
            <w:tcW w:w="695" w:type="dxa"/>
            <w:tcBorders>
              <w:top w:val="single" w:sz="4" w:space="0" w:color="auto"/>
              <w:left w:val="single" w:sz="4" w:space="0" w:color="auto"/>
              <w:bottom w:val="single" w:sz="4" w:space="0" w:color="auto"/>
              <w:right w:val="single" w:sz="4" w:space="0" w:color="auto"/>
            </w:tcBorders>
          </w:tcPr>
          <w:p w14:paraId="3AC11C85" w14:textId="745EFF83"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4B0582D4" w14:textId="457F6E68" w:rsidR="008F492D" w:rsidRPr="00FE7557" w:rsidRDefault="008F492D" w:rsidP="63BA48A4">
            <w:pPr>
              <w:jc w:val="center"/>
              <w:rPr>
                <w:rFonts w:ascii="Calibri" w:eastAsia="Calibri" w:hAnsi="Calibri" w:cs="Calibri"/>
                <w:sz w:val="20"/>
                <w:szCs w:val="20"/>
              </w:rPr>
            </w:pPr>
          </w:p>
          <w:p w14:paraId="67D47848" w14:textId="50050B4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2/25</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BA48A4">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5531E1EA" w:rsidR="008F492D" w:rsidRPr="00C54700"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2/27</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BA48A4">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5D848D44"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03/01</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BA48A4">
        <w:tc>
          <w:tcPr>
            <w:tcW w:w="695" w:type="dxa"/>
            <w:tcBorders>
              <w:top w:val="single" w:sz="4" w:space="0" w:color="auto"/>
              <w:left w:val="single" w:sz="4" w:space="0" w:color="auto"/>
              <w:bottom w:val="single" w:sz="4" w:space="0" w:color="auto"/>
              <w:right w:val="single" w:sz="4" w:space="0" w:color="auto"/>
            </w:tcBorders>
          </w:tcPr>
          <w:p w14:paraId="39CC5232" w14:textId="2DBEB744"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5EB96F0F" w14:textId="166BF030" w:rsidR="008F492D" w:rsidRDefault="63BA48A4" w:rsidP="63BA48A4">
            <w:pPr>
              <w:jc w:val="center"/>
              <w:rPr>
                <w:rFonts w:ascii="Calibri" w:hAnsi="Calibri"/>
                <w:sz w:val="20"/>
                <w:szCs w:val="20"/>
              </w:rPr>
            </w:pPr>
            <w:r w:rsidRPr="63BA48A4">
              <w:rPr>
                <w:rFonts w:ascii="Calibri" w:hAnsi="Calibri"/>
                <w:sz w:val="20"/>
                <w:szCs w:val="20"/>
              </w:rPr>
              <w:t>03/04</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46EAE8D1" w:rsidR="008F492D" w:rsidRPr="00FE7557" w:rsidRDefault="63BA48A4" w:rsidP="63BA48A4">
            <w:pPr>
              <w:jc w:val="center"/>
              <w:rPr>
                <w:rFonts w:ascii="Calibri" w:hAnsi="Calibri" w:cs="Arial"/>
                <w:sz w:val="20"/>
                <w:szCs w:val="20"/>
              </w:rPr>
            </w:pPr>
            <w:r w:rsidRPr="63BA48A4">
              <w:rPr>
                <w:rFonts w:ascii="Calibri" w:hAnsi="Calibri" w:cs="Arial"/>
                <w:sz w:val="20"/>
                <w:szCs w:val="20"/>
              </w:rPr>
              <w:t>03/06</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38BE0189" w:rsidR="008F492D" w:rsidRPr="00FE7557" w:rsidRDefault="63BA48A4" w:rsidP="63BA48A4">
            <w:pPr>
              <w:jc w:val="center"/>
              <w:rPr>
                <w:rFonts w:ascii="Calibri" w:hAnsi="Calibri"/>
                <w:sz w:val="20"/>
                <w:szCs w:val="20"/>
              </w:rPr>
            </w:pPr>
            <w:r w:rsidRPr="63BA48A4">
              <w:rPr>
                <w:rFonts w:ascii="Calibri" w:hAnsi="Calibri"/>
                <w:sz w:val="20"/>
                <w:szCs w:val="20"/>
              </w:rPr>
              <w:t>03/08</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BA48A4">
        <w:tc>
          <w:tcPr>
            <w:tcW w:w="695" w:type="dxa"/>
            <w:tcBorders>
              <w:top w:val="single" w:sz="4" w:space="0" w:color="auto"/>
              <w:left w:val="single" w:sz="4" w:space="0" w:color="auto"/>
              <w:bottom w:val="single" w:sz="4" w:space="0" w:color="auto"/>
              <w:right w:val="single" w:sz="4" w:space="0" w:color="auto"/>
            </w:tcBorders>
          </w:tcPr>
          <w:p w14:paraId="2CB27E45" w14:textId="26695B5C" w:rsidR="008F492D" w:rsidRPr="00FE7557" w:rsidRDefault="008F492D" w:rsidP="63BA48A4">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BA48A4">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4EBC1157" w:rsidR="008F492D" w:rsidRPr="009A0F1C" w:rsidRDefault="008F492D" w:rsidP="63BA48A4">
            <w:pPr>
              <w:jc w:val="center"/>
              <w:rPr>
                <w:rFonts w:ascii="Calibri" w:hAnsi="Calibri"/>
                <w:sz w:val="20"/>
                <w:szCs w:val="20"/>
              </w:rPr>
            </w:pPr>
          </w:p>
          <w:p w14:paraId="3BB0DDAE" w14:textId="7FA3C5E7" w:rsidR="008F492D" w:rsidRPr="00FE7557" w:rsidRDefault="63BA48A4" w:rsidP="63BA48A4">
            <w:pPr>
              <w:jc w:val="center"/>
              <w:rPr>
                <w:rFonts w:ascii="Calibri" w:hAnsi="Calibri" w:cs="Arial"/>
                <w:sz w:val="20"/>
                <w:szCs w:val="20"/>
              </w:rPr>
            </w:pPr>
            <w:r w:rsidRPr="63BA48A4">
              <w:rPr>
                <w:rFonts w:ascii="Calibri" w:hAnsi="Calibri" w:cs="Arial"/>
                <w:sz w:val="20"/>
                <w:szCs w:val="20"/>
              </w:rPr>
              <w:t>3/18</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BA48A4">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1AA410BD" w:rsidR="008F492D" w:rsidRPr="00FE7557" w:rsidRDefault="63BA48A4" w:rsidP="63BA48A4">
            <w:pPr>
              <w:jc w:val="center"/>
              <w:rPr>
                <w:rFonts w:ascii="Calibri" w:hAnsi="Calibri"/>
                <w:sz w:val="20"/>
                <w:szCs w:val="20"/>
              </w:rPr>
            </w:pPr>
            <w:r w:rsidRPr="63BA48A4">
              <w:rPr>
                <w:rFonts w:ascii="Calibri" w:hAnsi="Calibri"/>
                <w:sz w:val="20"/>
                <w:szCs w:val="20"/>
              </w:rPr>
              <w:t>3/20</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BA48A4">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376A262C" w:rsidR="008F492D" w:rsidRPr="00FE7557" w:rsidRDefault="63BA48A4" w:rsidP="63BA48A4">
            <w:pPr>
              <w:jc w:val="center"/>
              <w:rPr>
                <w:rFonts w:ascii="Calibri" w:hAnsi="Calibri" w:cs="Arial"/>
                <w:sz w:val="20"/>
                <w:szCs w:val="20"/>
              </w:rPr>
            </w:pPr>
            <w:r w:rsidRPr="63BA48A4">
              <w:rPr>
                <w:rFonts w:ascii="Calibri" w:hAnsi="Calibri" w:cs="Arial"/>
                <w:sz w:val="20"/>
                <w:szCs w:val="20"/>
              </w:rPr>
              <w:t>3/22</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BA48A4">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4010CDD6" w:rsidR="008F492D" w:rsidRPr="00FE7557" w:rsidRDefault="63BA48A4" w:rsidP="63BA48A4">
            <w:pPr>
              <w:jc w:val="center"/>
              <w:rPr>
                <w:rFonts w:ascii="Calibri" w:hAnsi="Calibri"/>
                <w:sz w:val="20"/>
                <w:szCs w:val="20"/>
              </w:rPr>
            </w:pPr>
            <w:r w:rsidRPr="63BA48A4">
              <w:rPr>
                <w:rFonts w:ascii="Calibri" w:hAnsi="Calibri"/>
                <w:sz w:val="20"/>
                <w:szCs w:val="20"/>
              </w:rPr>
              <w:t>3/25</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BA48A4">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BA48A4">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3256E84" w:rsidR="008F492D" w:rsidRPr="00FE7557" w:rsidRDefault="63BA48A4" w:rsidP="63BA48A4">
            <w:pPr>
              <w:jc w:val="center"/>
              <w:rPr>
                <w:rFonts w:ascii="Calibri" w:hAnsi="Calibri" w:cs="Arial"/>
                <w:sz w:val="20"/>
                <w:szCs w:val="20"/>
              </w:rPr>
            </w:pPr>
            <w:r w:rsidRPr="63BA48A4">
              <w:rPr>
                <w:rFonts w:ascii="Calibri" w:hAnsi="Calibri" w:cs="Arial"/>
                <w:sz w:val="20"/>
                <w:szCs w:val="20"/>
              </w:rPr>
              <w:t>3/27</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BA48A4">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7FA14602" w:rsidR="008F492D" w:rsidRPr="00FE7557" w:rsidRDefault="63BA48A4" w:rsidP="63BA48A4">
            <w:pPr>
              <w:jc w:val="center"/>
              <w:rPr>
                <w:rFonts w:ascii="Calibri" w:hAnsi="Calibri"/>
                <w:sz w:val="20"/>
                <w:szCs w:val="20"/>
              </w:rPr>
            </w:pPr>
            <w:r w:rsidRPr="63BA48A4">
              <w:rPr>
                <w:rFonts w:ascii="Calibri" w:hAnsi="Calibri"/>
                <w:sz w:val="20"/>
                <w:szCs w:val="20"/>
              </w:rPr>
              <w:t>3/29</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1DEAD326" w:rsidR="008F492D" w:rsidRPr="00FE7557" w:rsidRDefault="63BA48A4" w:rsidP="63BA48A4">
            <w:pPr>
              <w:jc w:val="center"/>
              <w:rPr>
                <w:rFonts w:ascii="Calibri" w:hAnsi="Calibri"/>
                <w:sz w:val="20"/>
                <w:szCs w:val="20"/>
              </w:rPr>
            </w:pPr>
            <w:r w:rsidRPr="63BA48A4">
              <w:rPr>
                <w:rFonts w:ascii="Calibri" w:hAnsi="Calibri"/>
                <w:sz w:val="20"/>
                <w:szCs w:val="20"/>
              </w:rPr>
              <w:t>4/01</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2CE270F4" w:rsidR="6311D2B8" w:rsidRDefault="63BA48A4" w:rsidP="63BA48A4">
            <w:pPr>
              <w:rPr>
                <w:rFonts w:ascii="Calibri" w:hAnsi="Calibri"/>
                <w:sz w:val="20"/>
                <w:szCs w:val="20"/>
              </w:rPr>
            </w:pPr>
            <w:r w:rsidRPr="63BA48A4">
              <w:rPr>
                <w:rFonts w:ascii="Calibri" w:hAnsi="Calibri"/>
                <w:sz w:val="20"/>
                <w:szCs w:val="20"/>
              </w:rPr>
              <w:t xml:space="preserve">         4/3</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29148EAF" w:rsidR="6311D2B8" w:rsidRDefault="63BA48A4" w:rsidP="63BA48A4">
            <w:pPr>
              <w:rPr>
                <w:rFonts w:ascii="Calibri" w:hAnsi="Calibri"/>
                <w:sz w:val="20"/>
                <w:szCs w:val="20"/>
              </w:rPr>
            </w:pPr>
            <w:r w:rsidRPr="63BA48A4">
              <w:rPr>
                <w:rFonts w:ascii="Calibri" w:hAnsi="Calibri"/>
                <w:sz w:val="20"/>
                <w:szCs w:val="20"/>
              </w:rPr>
              <w:t xml:space="preserve">        04/05</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5196C73C" w:rsidR="6311D2B8" w:rsidRDefault="63BA48A4" w:rsidP="63BA48A4">
            <w:pPr>
              <w:rPr>
                <w:rFonts w:ascii="Calibri" w:hAnsi="Calibri"/>
                <w:sz w:val="20"/>
                <w:szCs w:val="20"/>
              </w:rPr>
            </w:pPr>
            <w:r w:rsidRPr="63BA48A4">
              <w:rPr>
                <w:rFonts w:ascii="Calibri" w:hAnsi="Calibri"/>
                <w:sz w:val="20"/>
                <w:szCs w:val="20"/>
              </w:rPr>
              <w:t xml:space="preserve">       4/8</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13821551" w:rsidR="6311D2B8" w:rsidRDefault="63BA48A4" w:rsidP="63BA48A4">
            <w:pPr>
              <w:rPr>
                <w:rFonts w:ascii="Calibri" w:hAnsi="Calibri"/>
                <w:sz w:val="20"/>
                <w:szCs w:val="20"/>
              </w:rPr>
            </w:pPr>
            <w:r w:rsidRPr="63BA48A4">
              <w:rPr>
                <w:rFonts w:ascii="Calibri" w:hAnsi="Calibri"/>
                <w:sz w:val="20"/>
                <w:szCs w:val="20"/>
              </w:rPr>
              <w:t xml:space="preserve">         4/10</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7B014F96" w:rsidR="6311D2B8" w:rsidRDefault="63BA48A4" w:rsidP="63BA48A4">
            <w:pPr>
              <w:rPr>
                <w:rFonts w:ascii="Calibri" w:hAnsi="Calibri"/>
                <w:sz w:val="20"/>
                <w:szCs w:val="20"/>
              </w:rPr>
            </w:pPr>
            <w:r w:rsidRPr="63BA48A4">
              <w:rPr>
                <w:rFonts w:ascii="Calibri" w:hAnsi="Calibri"/>
                <w:sz w:val="20"/>
                <w:szCs w:val="20"/>
              </w:rPr>
              <w:t xml:space="preserve">         4/12</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3190F7FD" w:rsidR="6311D2B8" w:rsidRDefault="63BA48A4" w:rsidP="63BA48A4">
            <w:pPr>
              <w:rPr>
                <w:rFonts w:ascii="Calibri" w:hAnsi="Calibri"/>
                <w:sz w:val="20"/>
                <w:szCs w:val="20"/>
              </w:rPr>
            </w:pPr>
            <w:r w:rsidRPr="63BA48A4">
              <w:rPr>
                <w:rFonts w:ascii="Calibri" w:hAnsi="Calibri"/>
                <w:sz w:val="20"/>
                <w:szCs w:val="20"/>
              </w:rPr>
              <w:t xml:space="preserve">        4/15</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7EBCC181" w:rsidR="6311D2B8" w:rsidRDefault="63BA48A4" w:rsidP="63BA48A4">
            <w:pPr>
              <w:rPr>
                <w:rFonts w:ascii="Calibri" w:hAnsi="Calibri"/>
                <w:sz w:val="20"/>
                <w:szCs w:val="20"/>
              </w:rPr>
            </w:pPr>
            <w:r w:rsidRPr="63BA48A4">
              <w:rPr>
                <w:rFonts w:ascii="Calibri" w:hAnsi="Calibri"/>
                <w:sz w:val="20"/>
                <w:szCs w:val="20"/>
              </w:rPr>
              <w:t xml:space="preserve">          4/17</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5559E14D" w:rsidR="6311D2B8" w:rsidRDefault="63BA48A4" w:rsidP="63BA48A4">
            <w:pPr>
              <w:rPr>
                <w:rFonts w:ascii="Calibri" w:hAnsi="Calibri"/>
                <w:sz w:val="20"/>
                <w:szCs w:val="20"/>
              </w:rPr>
            </w:pPr>
            <w:r w:rsidRPr="63BA48A4">
              <w:rPr>
                <w:rFonts w:ascii="Calibri" w:hAnsi="Calibri"/>
                <w:sz w:val="20"/>
                <w:szCs w:val="20"/>
              </w:rPr>
              <w:t xml:space="preserve">       4/19</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43ED7DC6" w:rsidR="6311D2B8" w:rsidRDefault="63BA48A4" w:rsidP="63BA48A4">
            <w:pPr>
              <w:rPr>
                <w:rFonts w:ascii="Calibri" w:hAnsi="Calibri"/>
                <w:sz w:val="20"/>
                <w:szCs w:val="20"/>
              </w:rPr>
            </w:pPr>
            <w:r w:rsidRPr="63BA48A4">
              <w:rPr>
                <w:rFonts w:ascii="Calibri" w:hAnsi="Calibri"/>
                <w:sz w:val="20"/>
                <w:szCs w:val="20"/>
              </w:rPr>
              <w:t xml:space="preserve">       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4B986F03" w:rsidR="6311D2B8" w:rsidRDefault="63BA48A4" w:rsidP="63BA48A4">
            <w:pPr>
              <w:rPr>
                <w:rFonts w:ascii="Calibri" w:hAnsi="Calibri"/>
                <w:sz w:val="20"/>
                <w:szCs w:val="20"/>
              </w:rPr>
            </w:pPr>
            <w:r w:rsidRPr="63BA48A4">
              <w:rPr>
                <w:rFonts w:ascii="Calibri" w:hAnsi="Calibri"/>
                <w:sz w:val="20"/>
                <w:szCs w:val="20"/>
              </w:rPr>
              <w:t xml:space="preserve">         4/24</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303F4EF3" w:rsidR="6311D2B8" w:rsidRDefault="63BA48A4" w:rsidP="63BA48A4">
            <w:pPr>
              <w:rPr>
                <w:rFonts w:ascii="Calibri" w:hAnsi="Calibri"/>
                <w:sz w:val="20"/>
                <w:szCs w:val="20"/>
              </w:rPr>
            </w:pPr>
            <w:r w:rsidRPr="63BA48A4">
              <w:rPr>
                <w:rFonts w:ascii="Calibri" w:hAnsi="Calibri"/>
                <w:sz w:val="20"/>
                <w:szCs w:val="20"/>
              </w:rPr>
              <w:t xml:space="preserve">         4/26</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2F378E5B" w:rsidR="6311D2B8" w:rsidRDefault="63BA48A4" w:rsidP="63BA48A4">
            <w:pPr>
              <w:rPr>
                <w:rFonts w:ascii="Calibri" w:hAnsi="Calibri"/>
                <w:sz w:val="20"/>
                <w:szCs w:val="20"/>
              </w:rPr>
            </w:pPr>
            <w:r w:rsidRPr="63BA48A4">
              <w:rPr>
                <w:rFonts w:ascii="Calibri" w:hAnsi="Calibri"/>
                <w:sz w:val="20"/>
                <w:szCs w:val="20"/>
              </w:rPr>
              <w:t xml:space="preserve">        4/29</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600FABBD" w:rsidR="6311D2B8" w:rsidRDefault="63BA48A4" w:rsidP="63BA48A4">
            <w:pPr>
              <w:rPr>
                <w:rFonts w:ascii="Calibri" w:hAnsi="Calibri"/>
                <w:sz w:val="20"/>
                <w:szCs w:val="20"/>
              </w:rPr>
            </w:pPr>
            <w:r w:rsidRPr="63BA48A4">
              <w:rPr>
                <w:rFonts w:ascii="Calibri" w:hAnsi="Calibri"/>
                <w:sz w:val="20"/>
                <w:szCs w:val="20"/>
              </w:rPr>
              <w:t xml:space="preserve">         5/1</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1BF08F5B" w:rsidR="6311D2B8" w:rsidRDefault="63BA48A4" w:rsidP="63BA48A4">
            <w:pPr>
              <w:rPr>
                <w:rFonts w:ascii="Calibri" w:hAnsi="Calibri"/>
                <w:sz w:val="20"/>
                <w:szCs w:val="20"/>
              </w:rPr>
            </w:pPr>
            <w:r w:rsidRPr="63BA48A4">
              <w:rPr>
                <w:rFonts w:ascii="Calibri" w:hAnsi="Calibri"/>
                <w:sz w:val="20"/>
                <w:szCs w:val="20"/>
              </w:rPr>
              <w:t xml:space="preserve">         5/3</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3A286" w14:textId="77777777" w:rsidR="00691B1A" w:rsidRDefault="00691B1A" w:rsidP="00F60F68">
      <w:r>
        <w:separator/>
      </w:r>
    </w:p>
  </w:endnote>
  <w:endnote w:type="continuationSeparator" w:id="0">
    <w:p w14:paraId="5DF9513A" w14:textId="77777777" w:rsidR="00691B1A" w:rsidRDefault="00691B1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3289" w14:textId="77777777" w:rsidR="00691B1A" w:rsidRDefault="00691B1A" w:rsidP="00F60F68">
      <w:r>
        <w:separator/>
      </w:r>
    </w:p>
  </w:footnote>
  <w:footnote w:type="continuationSeparator" w:id="0">
    <w:p w14:paraId="2E869DE0" w14:textId="77777777" w:rsidR="00691B1A" w:rsidRDefault="00691B1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4F354469" w:rsidR="000957D2" w:rsidRDefault="000957D2" w:rsidP="00EE2E60">
        <w:pPr>
          <w:pStyle w:val="Header"/>
        </w:pPr>
        <w:r>
          <w:tab/>
        </w:r>
        <w:r>
          <w:tab/>
        </w:r>
        <w:r>
          <w:fldChar w:fldCharType="begin"/>
        </w:r>
        <w:r>
          <w:instrText xml:space="preserve"> PAGE   \* MERGEFORMAT </w:instrText>
        </w:r>
        <w:r>
          <w:fldChar w:fldCharType="separate"/>
        </w:r>
        <w:r w:rsidR="0003752C">
          <w:rPr>
            <w:noProof/>
          </w:rPr>
          <w:t>2</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3752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91B1A"/>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15EE"/>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63BA48A4"/>
    <w:rsid w:val="722A3181"/>
    <w:rsid w:val="7CA6633A"/>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55FBA96-77AE-4859-ACE7-599ABEF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glossaryDocument" Target="glossary/document.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E4CA9"/>
    <w:rsid w:val="008E4CA9"/>
    <w:rsid w:val="00A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4FC0847-B1E7-47C8-B0AD-41CB733D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2014-06-10T19:36:00Z</cp:lastPrinted>
  <dcterms:created xsi:type="dcterms:W3CDTF">2019-01-16T16:33:00Z</dcterms:created>
  <dcterms:modified xsi:type="dcterms:W3CDTF">2019-01-16T16:33:00Z</dcterms:modified>
</cp:coreProperties>
</file>