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94" w:rsidRPr="005967E9" w:rsidRDefault="00C32C94" w:rsidP="00C32C94">
      <w:pPr>
        <w:spacing w:line="240" w:lineRule="auto"/>
        <w:contextualSpacing/>
        <w:jc w:val="center"/>
        <w:rPr>
          <w:b/>
          <w:sz w:val="24"/>
          <w:szCs w:val="24"/>
        </w:rPr>
      </w:pPr>
      <w:r w:rsidRPr="005967E9">
        <w:rPr>
          <w:b/>
          <w:sz w:val="24"/>
          <w:szCs w:val="24"/>
        </w:rPr>
        <w:t>HIST 5365, Topics</w:t>
      </w:r>
    </w:p>
    <w:p w:rsidR="00C32C94" w:rsidRPr="005967E9" w:rsidRDefault="00C32C94" w:rsidP="00C32C94">
      <w:pPr>
        <w:spacing w:line="240" w:lineRule="auto"/>
        <w:contextualSpacing/>
        <w:jc w:val="center"/>
        <w:rPr>
          <w:b/>
          <w:sz w:val="24"/>
          <w:szCs w:val="24"/>
        </w:rPr>
      </w:pPr>
      <w:r w:rsidRPr="005967E9">
        <w:rPr>
          <w:b/>
          <w:sz w:val="24"/>
          <w:szCs w:val="24"/>
        </w:rPr>
        <w:t>Spring, 2018</w:t>
      </w:r>
    </w:p>
    <w:p w:rsidR="00C32C94" w:rsidRPr="005967E9" w:rsidRDefault="00C32C94" w:rsidP="00C32C94">
      <w:pPr>
        <w:spacing w:line="240" w:lineRule="auto"/>
        <w:rPr>
          <w:sz w:val="24"/>
          <w:szCs w:val="24"/>
        </w:rPr>
      </w:pPr>
    </w:p>
    <w:p w:rsidR="00C32C94" w:rsidRPr="005967E9" w:rsidRDefault="00C32C94" w:rsidP="00C32C94">
      <w:pPr>
        <w:spacing w:line="240" w:lineRule="auto"/>
        <w:jc w:val="center"/>
        <w:rPr>
          <w:sz w:val="24"/>
          <w:szCs w:val="24"/>
          <w:u w:val="single"/>
        </w:rPr>
      </w:pPr>
      <w:r w:rsidRPr="005967E9">
        <w:rPr>
          <w:sz w:val="24"/>
          <w:szCs w:val="24"/>
          <w:u w:val="single"/>
        </w:rPr>
        <w:t>Histories of Commodities</w:t>
      </w:r>
    </w:p>
    <w:p w:rsidR="00C32C94" w:rsidRPr="005967E9" w:rsidRDefault="00C32C94" w:rsidP="00C32C94">
      <w:pPr>
        <w:contextualSpacing/>
        <w:rPr>
          <w:sz w:val="24"/>
          <w:szCs w:val="24"/>
        </w:rPr>
      </w:pPr>
      <w:r w:rsidRPr="005967E9">
        <w:rPr>
          <w:b/>
          <w:bCs/>
          <w:sz w:val="24"/>
          <w:szCs w:val="24"/>
        </w:rPr>
        <w:t>PROFESSOR</w:t>
      </w:r>
      <w:r w:rsidRPr="005967E9">
        <w:rPr>
          <w:sz w:val="24"/>
          <w:szCs w:val="24"/>
        </w:rPr>
        <w:t>: C. MORRIS</w:t>
      </w:r>
    </w:p>
    <w:p w:rsidR="00C32C94" w:rsidRPr="005967E9" w:rsidRDefault="00C32C94" w:rsidP="00C32C94">
      <w:pPr>
        <w:contextualSpacing/>
        <w:rPr>
          <w:sz w:val="24"/>
          <w:szCs w:val="24"/>
        </w:rPr>
      </w:pPr>
      <w:r w:rsidRPr="005967E9">
        <w:rPr>
          <w:b/>
          <w:bCs/>
          <w:sz w:val="24"/>
          <w:szCs w:val="24"/>
        </w:rPr>
        <w:t>OFFICE</w:t>
      </w:r>
      <w:r w:rsidRPr="005967E9">
        <w:rPr>
          <w:sz w:val="24"/>
          <w:szCs w:val="24"/>
        </w:rPr>
        <w:t>: UH 346</w:t>
      </w:r>
    </w:p>
    <w:p w:rsidR="00C32C94" w:rsidRPr="005967E9" w:rsidRDefault="00C32C94" w:rsidP="00C32C94">
      <w:pPr>
        <w:tabs>
          <w:tab w:val="right" w:pos="9360"/>
        </w:tabs>
        <w:spacing w:line="232" w:lineRule="auto"/>
        <w:contextualSpacing/>
        <w:rPr>
          <w:sz w:val="24"/>
          <w:szCs w:val="24"/>
        </w:rPr>
      </w:pPr>
      <w:r w:rsidRPr="005967E9">
        <w:rPr>
          <w:b/>
          <w:bCs/>
          <w:sz w:val="24"/>
          <w:szCs w:val="24"/>
        </w:rPr>
        <w:t>EMAIL</w:t>
      </w:r>
      <w:r w:rsidRPr="005967E9">
        <w:rPr>
          <w:sz w:val="24"/>
          <w:szCs w:val="24"/>
        </w:rPr>
        <w:t>: morris@uta.edu</w:t>
      </w:r>
    </w:p>
    <w:p w:rsidR="00C32C94" w:rsidRPr="005967E9" w:rsidRDefault="00C32C94" w:rsidP="00C32C94">
      <w:pPr>
        <w:contextualSpacing/>
        <w:rPr>
          <w:bCs/>
          <w:sz w:val="24"/>
          <w:szCs w:val="24"/>
        </w:rPr>
      </w:pPr>
      <w:r w:rsidRPr="005967E9">
        <w:rPr>
          <w:b/>
          <w:bCs/>
          <w:sz w:val="24"/>
          <w:szCs w:val="24"/>
        </w:rPr>
        <w:t xml:space="preserve">FACULTY PROFILE: </w:t>
      </w:r>
      <w:hyperlink r:id="rId5" w:anchor="profile/profile/view/id/1212/category/3" w:history="1">
        <w:r w:rsidRPr="005967E9">
          <w:rPr>
            <w:rStyle w:val="Hyperlink"/>
            <w:bCs/>
            <w:sz w:val="24"/>
            <w:szCs w:val="24"/>
          </w:rPr>
          <w:t>https://www.uta.edu/mentis/public/#profile/profile/view/id/1212/category/3</w:t>
        </w:r>
      </w:hyperlink>
    </w:p>
    <w:p w:rsidR="00C32C94" w:rsidRPr="005967E9" w:rsidRDefault="00C32C94" w:rsidP="00C32C94">
      <w:pPr>
        <w:contextualSpacing/>
        <w:rPr>
          <w:sz w:val="24"/>
          <w:szCs w:val="24"/>
        </w:rPr>
      </w:pPr>
      <w:r w:rsidRPr="005967E9">
        <w:rPr>
          <w:b/>
          <w:bCs/>
          <w:sz w:val="24"/>
          <w:szCs w:val="24"/>
        </w:rPr>
        <w:t>OFFICE HOURS</w:t>
      </w:r>
      <w:r w:rsidRPr="005967E9">
        <w:rPr>
          <w:sz w:val="24"/>
          <w:szCs w:val="24"/>
        </w:rPr>
        <w:t xml:space="preserve">: Tue 2:30-3:30, </w:t>
      </w:r>
      <w:r w:rsidR="001843B6" w:rsidRPr="005967E9">
        <w:rPr>
          <w:sz w:val="24"/>
          <w:szCs w:val="24"/>
        </w:rPr>
        <w:t>5:00-6:00</w:t>
      </w:r>
      <w:r w:rsidR="001843B6">
        <w:rPr>
          <w:sz w:val="24"/>
          <w:szCs w:val="24"/>
        </w:rPr>
        <w:t xml:space="preserve">, </w:t>
      </w:r>
      <w:bookmarkStart w:id="0" w:name="_GoBack"/>
      <w:bookmarkEnd w:id="0"/>
      <w:r w:rsidRPr="005967E9">
        <w:rPr>
          <w:sz w:val="24"/>
          <w:szCs w:val="24"/>
        </w:rPr>
        <w:t xml:space="preserve">Thu 2:30-3:30, </w:t>
      </w:r>
    </w:p>
    <w:p w:rsidR="00C32C94" w:rsidRPr="005967E9" w:rsidRDefault="00C32C94" w:rsidP="00C32C94">
      <w:pPr>
        <w:contextualSpacing/>
        <w:rPr>
          <w:sz w:val="24"/>
          <w:szCs w:val="24"/>
        </w:rPr>
      </w:pPr>
      <w:r w:rsidRPr="005967E9">
        <w:rPr>
          <w:b/>
          <w:sz w:val="24"/>
          <w:szCs w:val="24"/>
        </w:rPr>
        <w:t>SECTION INFORMATION</w:t>
      </w:r>
      <w:r w:rsidRPr="005967E9">
        <w:rPr>
          <w:sz w:val="24"/>
          <w:szCs w:val="24"/>
        </w:rPr>
        <w:t>: HIST 5365, SECTION 001</w:t>
      </w:r>
    </w:p>
    <w:p w:rsidR="00C32C94" w:rsidRPr="005967E9" w:rsidRDefault="00C32C94" w:rsidP="00C32C94">
      <w:pPr>
        <w:contextualSpacing/>
        <w:rPr>
          <w:sz w:val="24"/>
          <w:szCs w:val="24"/>
        </w:rPr>
      </w:pPr>
      <w:r w:rsidRPr="005967E9">
        <w:rPr>
          <w:b/>
          <w:bCs/>
          <w:sz w:val="24"/>
          <w:szCs w:val="24"/>
        </w:rPr>
        <w:t>TIME AND PLACE</w:t>
      </w:r>
      <w:r w:rsidRPr="005967E9">
        <w:rPr>
          <w:sz w:val="24"/>
          <w:szCs w:val="24"/>
        </w:rPr>
        <w:t>: Tue. 7-10, UH 009</w:t>
      </w:r>
    </w:p>
    <w:p w:rsidR="00C32C94" w:rsidRPr="005967E9" w:rsidRDefault="00C32C94" w:rsidP="00C32C94">
      <w:pPr>
        <w:spacing w:line="240" w:lineRule="auto"/>
        <w:rPr>
          <w:sz w:val="24"/>
          <w:szCs w:val="24"/>
          <w:u w:val="single"/>
        </w:rPr>
      </w:pPr>
    </w:p>
    <w:p w:rsidR="00C32C94" w:rsidRPr="005967E9" w:rsidRDefault="00C32C94" w:rsidP="00C32C94">
      <w:pPr>
        <w:spacing w:line="240" w:lineRule="auto"/>
        <w:rPr>
          <w:b/>
          <w:sz w:val="24"/>
          <w:szCs w:val="24"/>
        </w:rPr>
      </w:pPr>
      <w:r w:rsidRPr="005967E9">
        <w:rPr>
          <w:b/>
          <w:sz w:val="24"/>
          <w:szCs w:val="24"/>
        </w:rPr>
        <w:t>CONTENT AND GOALS:</w:t>
      </w:r>
    </w:p>
    <w:p w:rsidR="00C32C94" w:rsidRPr="005967E9" w:rsidRDefault="00C32C94" w:rsidP="00C32C94">
      <w:pPr>
        <w:spacing w:line="240" w:lineRule="auto"/>
        <w:rPr>
          <w:sz w:val="24"/>
          <w:szCs w:val="24"/>
        </w:rPr>
      </w:pPr>
      <w:r w:rsidRPr="005967E9">
        <w:rPr>
          <w:sz w:val="24"/>
          <w:szCs w:val="24"/>
        </w:rPr>
        <w:t>How have the things people have exchanged shaped human history?</w:t>
      </w:r>
    </w:p>
    <w:p w:rsidR="00C32C94" w:rsidRPr="005967E9" w:rsidRDefault="00C32C94" w:rsidP="00C32C94">
      <w:pPr>
        <w:spacing w:line="240" w:lineRule="auto"/>
        <w:rPr>
          <w:sz w:val="24"/>
          <w:szCs w:val="24"/>
        </w:rPr>
      </w:pPr>
      <w:r w:rsidRPr="005967E9">
        <w:rPr>
          <w:sz w:val="24"/>
          <w:szCs w:val="24"/>
        </w:rPr>
        <w:t>This class will examine the new and exciting history of commodities, in particular, within a transatlantic and transnational perspective. We will begin with some readings on what commodities are and how they have been conceptualized by economists at least since Smith, Ricardo, and Marx. We will also look at some approaches taken by anthropologists and sociologists, including Actor-Network Theory (ANT) and the debate over how inanimate objects such as commodities can be active agents in human history. With these preliminaries out of the way, we will then consider some recent histories of commodities with an eye to answering our guiding question. Readings address this central question from varying perspectives: by focusing on specific things (for example, cotton, rubber, labor); by examining how people in the past have thought about commodities (as inherently valuable, as fungible, as necessary or as superfluous); by developing ways for historians to think about commodities and history (as past objects of human attention, invention, and connection, but also as agents of history).</w:t>
      </w:r>
    </w:p>
    <w:p w:rsidR="00701FB6" w:rsidRPr="005967E9" w:rsidRDefault="00701FB6" w:rsidP="00701FB6">
      <w:pPr>
        <w:pStyle w:val="BodyText"/>
        <w:rPr>
          <w:rFonts w:asciiTheme="minorHAnsi" w:hAnsiTheme="minorHAnsi" w:cs="Times New Roman"/>
          <w:b/>
          <w:bCs/>
          <w:sz w:val="24"/>
          <w:szCs w:val="24"/>
        </w:rPr>
      </w:pPr>
    </w:p>
    <w:p w:rsidR="00701FB6" w:rsidRPr="005967E9" w:rsidRDefault="001072B4" w:rsidP="00701FB6">
      <w:pPr>
        <w:pStyle w:val="BodyText"/>
        <w:rPr>
          <w:rFonts w:asciiTheme="minorHAnsi" w:hAnsiTheme="minorHAnsi" w:cs="Times New Roman"/>
          <w:sz w:val="24"/>
          <w:szCs w:val="24"/>
        </w:rPr>
      </w:pPr>
      <w:r w:rsidRPr="005967E9">
        <w:rPr>
          <w:rFonts w:asciiTheme="minorHAnsi" w:hAnsiTheme="minorHAnsi" w:cs="Times New Roman"/>
          <w:b/>
          <w:bCs/>
          <w:sz w:val="24"/>
          <w:szCs w:val="24"/>
        </w:rPr>
        <w:t>REQUIREMENTS</w:t>
      </w:r>
      <w:r w:rsidRPr="005967E9">
        <w:rPr>
          <w:rFonts w:asciiTheme="minorHAnsi" w:hAnsiTheme="minorHAnsi" w:cs="Times New Roman"/>
          <w:sz w:val="24"/>
          <w:szCs w:val="24"/>
        </w:rPr>
        <w:t>:</w:t>
      </w:r>
    </w:p>
    <w:p w:rsidR="00701FB6" w:rsidRPr="005967E9" w:rsidRDefault="00701FB6" w:rsidP="00701FB6">
      <w:pPr>
        <w:pStyle w:val="BodyText"/>
        <w:rPr>
          <w:rFonts w:asciiTheme="minorHAnsi" w:hAnsiTheme="minorHAnsi"/>
          <w:sz w:val="24"/>
          <w:szCs w:val="24"/>
          <w:u w:val="single"/>
        </w:rPr>
      </w:pPr>
    </w:p>
    <w:p w:rsidR="001072B4" w:rsidRPr="005967E9" w:rsidRDefault="001072B4" w:rsidP="001072B4">
      <w:pPr>
        <w:autoSpaceDE w:val="0"/>
        <w:autoSpaceDN w:val="0"/>
        <w:adjustRightInd w:val="0"/>
        <w:rPr>
          <w:sz w:val="24"/>
          <w:szCs w:val="24"/>
        </w:rPr>
      </w:pPr>
      <w:r w:rsidRPr="005967E9">
        <w:rPr>
          <w:sz w:val="24"/>
          <w:szCs w:val="24"/>
          <w:u w:val="single"/>
        </w:rPr>
        <w:t>Active participation in class discussions is absolutely essential</w:t>
      </w:r>
      <w:r w:rsidRPr="005967E9">
        <w:rPr>
          <w:sz w:val="24"/>
          <w:szCs w:val="24"/>
        </w:rPr>
        <w:t>. We will not be looking for correct answers in this class, or t</w:t>
      </w:r>
      <w:r w:rsidR="00701FB6" w:rsidRPr="005967E9">
        <w:rPr>
          <w:sz w:val="24"/>
          <w:szCs w:val="24"/>
        </w:rPr>
        <w:t>o solve issues once and for all, but for students to puzzle through ideas, concepts, and approaches to historical research, to ask questions of readings and of classmates, and to think out loud.</w:t>
      </w:r>
      <w:r w:rsidRPr="005967E9">
        <w:rPr>
          <w:sz w:val="24"/>
          <w:szCs w:val="24"/>
        </w:rPr>
        <w:t xml:space="preserve"> I expect to hear all your voices (preferably not all at once).</w:t>
      </w:r>
    </w:p>
    <w:p w:rsidR="001072B4" w:rsidRPr="005967E9" w:rsidRDefault="00701FB6" w:rsidP="001072B4">
      <w:pPr>
        <w:autoSpaceDE w:val="0"/>
        <w:autoSpaceDN w:val="0"/>
        <w:adjustRightInd w:val="0"/>
        <w:rPr>
          <w:sz w:val="24"/>
          <w:szCs w:val="24"/>
        </w:rPr>
      </w:pPr>
      <w:r w:rsidRPr="005967E9">
        <w:rPr>
          <w:sz w:val="24"/>
          <w:szCs w:val="24"/>
        </w:rPr>
        <w:t>Students will write five</w:t>
      </w:r>
      <w:r w:rsidR="001072B4" w:rsidRPr="005967E9">
        <w:rPr>
          <w:sz w:val="24"/>
          <w:szCs w:val="24"/>
        </w:rPr>
        <w:t xml:space="preserve"> book reviews of about 800 words each, based on assigned texts. Each review should have four parts: 1)state the author’s main point, argument, or thesis; 2)describe the author’s sources, methods, theories/approaches, or in the case of a review essay, the sort of literature being reviewed; 3)explain the author’s finding and conclusions; 4)offer your assessment  of the work—did the author do what he/she set out to do? Did the author make a </w:t>
      </w:r>
      <w:r w:rsidR="001072B4" w:rsidRPr="005967E9">
        <w:rPr>
          <w:sz w:val="24"/>
          <w:szCs w:val="24"/>
        </w:rPr>
        <w:lastRenderedPageBreak/>
        <w:t>valuable contribution to an ongoing debate or field of research? How does the work relate to other readings, especially those assigned the same week as your essay is due? Finally, where does the author’s contribution leave us?</w:t>
      </w:r>
    </w:p>
    <w:p w:rsidR="001072B4" w:rsidRPr="005967E9" w:rsidRDefault="001072B4" w:rsidP="001072B4">
      <w:pPr>
        <w:autoSpaceDE w:val="0"/>
        <w:autoSpaceDN w:val="0"/>
        <w:adjustRightInd w:val="0"/>
        <w:rPr>
          <w:b/>
          <w:sz w:val="24"/>
          <w:szCs w:val="24"/>
        </w:rPr>
      </w:pPr>
      <w:r w:rsidRPr="005967E9">
        <w:rPr>
          <w:sz w:val="24"/>
          <w:szCs w:val="24"/>
        </w:rPr>
        <w:t xml:space="preserve">In addition, students will write one </w:t>
      </w:r>
      <w:r w:rsidR="00701FB6" w:rsidRPr="005967E9">
        <w:rPr>
          <w:sz w:val="24"/>
          <w:szCs w:val="24"/>
        </w:rPr>
        <w:t>critical review</w:t>
      </w:r>
      <w:r w:rsidRPr="005967E9">
        <w:rPr>
          <w:sz w:val="24"/>
          <w:szCs w:val="24"/>
        </w:rPr>
        <w:t xml:space="preserve"> essay of 8-10 pages on </w:t>
      </w:r>
      <w:r w:rsidR="00701FB6" w:rsidRPr="005967E9">
        <w:rPr>
          <w:sz w:val="24"/>
          <w:szCs w:val="24"/>
        </w:rPr>
        <w:t xml:space="preserve">a minimum of three book on a theme, </w:t>
      </w:r>
      <w:r w:rsidRPr="005967E9">
        <w:rPr>
          <w:sz w:val="24"/>
          <w:szCs w:val="24"/>
        </w:rPr>
        <w:t>issue</w:t>
      </w:r>
      <w:r w:rsidR="00701FB6" w:rsidRPr="005967E9">
        <w:rPr>
          <w:sz w:val="24"/>
          <w:szCs w:val="24"/>
        </w:rPr>
        <w:t>, or commodity of their choice</w:t>
      </w:r>
      <w:r w:rsidRPr="005967E9">
        <w:rPr>
          <w:sz w:val="24"/>
          <w:szCs w:val="24"/>
        </w:rPr>
        <w:t xml:space="preserve">. </w:t>
      </w:r>
      <w:r w:rsidRPr="005967E9">
        <w:rPr>
          <w:b/>
          <w:sz w:val="24"/>
          <w:szCs w:val="24"/>
        </w:rPr>
        <w:t xml:space="preserve">This essay is due in class </w:t>
      </w:r>
      <w:r w:rsidR="00701FB6" w:rsidRPr="005967E9">
        <w:rPr>
          <w:b/>
          <w:sz w:val="24"/>
          <w:szCs w:val="24"/>
        </w:rPr>
        <w:t>May 1st</w:t>
      </w:r>
      <w:r w:rsidRPr="005967E9">
        <w:rPr>
          <w:b/>
          <w:sz w:val="24"/>
          <w:szCs w:val="24"/>
        </w:rPr>
        <w:t>.</w:t>
      </w:r>
    </w:p>
    <w:p w:rsidR="001072B4" w:rsidRPr="005967E9" w:rsidRDefault="001072B4" w:rsidP="001072B4">
      <w:pPr>
        <w:autoSpaceDE w:val="0"/>
        <w:autoSpaceDN w:val="0"/>
        <w:adjustRightInd w:val="0"/>
        <w:rPr>
          <w:sz w:val="24"/>
          <w:szCs w:val="24"/>
        </w:rPr>
      </w:pPr>
    </w:p>
    <w:p w:rsidR="001072B4" w:rsidRPr="005967E9" w:rsidRDefault="001072B4" w:rsidP="001072B4">
      <w:pPr>
        <w:rPr>
          <w:sz w:val="24"/>
          <w:szCs w:val="24"/>
        </w:rPr>
      </w:pPr>
      <w:r w:rsidRPr="005967E9">
        <w:rPr>
          <w:b/>
          <w:bCs/>
          <w:sz w:val="24"/>
          <w:szCs w:val="24"/>
        </w:rPr>
        <w:t>GRADING</w:t>
      </w:r>
      <w:r w:rsidRPr="005967E9">
        <w:rPr>
          <w:sz w:val="24"/>
          <w:szCs w:val="24"/>
        </w:rPr>
        <w:t>:</w:t>
      </w:r>
    </w:p>
    <w:p w:rsidR="001072B4" w:rsidRPr="005967E9" w:rsidRDefault="00701FB6" w:rsidP="001072B4">
      <w:pPr>
        <w:spacing w:before="100" w:beforeAutospacing="1" w:after="100" w:afterAutospacing="1"/>
        <w:contextualSpacing/>
        <w:rPr>
          <w:sz w:val="24"/>
          <w:szCs w:val="24"/>
        </w:rPr>
      </w:pPr>
      <w:r w:rsidRPr="005967E9">
        <w:rPr>
          <w:sz w:val="24"/>
          <w:szCs w:val="24"/>
        </w:rPr>
        <w:t>Book reviews:</w:t>
      </w:r>
      <w:r w:rsidRPr="005967E9">
        <w:rPr>
          <w:sz w:val="24"/>
          <w:szCs w:val="24"/>
        </w:rPr>
        <w:tab/>
        <w:t>50 points (5 X 10)</w:t>
      </w:r>
      <w:r w:rsidRPr="005967E9">
        <w:rPr>
          <w:sz w:val="24"/>
          <w:szCs w:val="24"/>
        </w:rPr>
        <w:br/>
        <w:t>Essay:</w:t>
      </w:r>
      <w:r w:rsidRPr="005967E9">
        <w:rPr>
          <w:sz w:val="24"/>
          <w:szCs w:val="24"/>
        </w:rPr>
        <w:tab/>
      </w:r>
      <w:r w:rsidRPr="005967E9">
        <w:rPr>
          <w:sz w:val="24"/>
          <w:szCs w:val="24"/>
        </w:rPr>
        <w:tab/>
        <w:t>3</w:t>
      </w:r>
      <w:r w:rsidR="001072B4" w:rsidRPr="005967E9">
        <w:rPr>
          <w:sz w:val="24"/>
          <w:szCs w:val="24"/>
        </w:rPr>
        <w:t>0 points</w:t>
      </w:r>
      <w:r w:rsidR="001072B4" w:rsidRPr="005967E9">
        <w:rPr>
          <w:sz w:val="24"/>
          <w:szCs w:val="24"/>
        </w:rPr>
        <w:br/>
        <w:t>Participation:</w:t>
      </w:r>
      <w:r w:rsidR="001072B4" w:rsidRPr="005967E9">
        <w:rPr>
          <w:sz w:val="24"/>
          <w:szCs w:val="24"/>
        </w:rPr>
        <w:tab/>
      </w:r>
      <w:r w:rsidRPr="005967E9">
        <w:rPr>
          <w:sz w:val="24"/>
          <w:szCs w:val="24"/>
          <w:u w:val="single"/>
        </w:rPr>
        <w:t>2</w:t>
      </w:r>
      <w:r w:rsidR="001072B4" w:rsidRPr="005967E9">
        <w:rPr>
          <w:sz w:val="24"/>
          <w:szCs w:val="24"/>
          <w:u w:val="single"/>
        </w:rPr>
        <w:t>0 points</w:t>
      </w:r>
    </w:p>
    <w:p w:rsidR="001072B4" w:rsidRPr="005967E9" w:rsidRDefault="00701FB6" w:rsidP="001072B4">
      <w:pPr>
        <w:spacing w:before="100" w:beforeAutospacing="1" w:after="100" w:afterAutospacing="1"/>
        <w:contextualSpacing/>
        <w:rPr>
          <w:sz w:val="24"/>
          <w:szCs w:val="24"/>
        </w:rPr>
      </w:pPr>
      <w:r w:rsidRPr="005967E9">
        <w:rPr>
          <w:sz w:val="24"/>
          <w:szCs w:val="24"/>
        </w:rPr>
        <w:t>TOTAL:            1</w:t>
      </w:r>
      <w:r w:rsidR="001072B4" w:rsidRPr="005967E9">
        <w:rPr>
          <w:sz w:val="24"/>
          <w:szCs w:val="24"/>
        </w:rPr>
        <w:t>00 points</w:t>
      </w:r>
    </w:p>
    <w:p w:rsidR="00701FB6" w:rsidRPr="005967E9" w:rsidRDefault="00701FB6">
      <w:pPr>
        <w:rPr>
          <w:b/>
          <w:sz w:val="24"/>
          <w:szCs w:val="24"/>
        </w:rPr>
      </w:pPr>
    </w:p>
    <w:p w:rsidR="001477F5" w:rsidRPr="005967E9" w:rsidRDefault="001477F5">
      <w:pPr>
        <w:rPr>
          <w:sz w:val="24"/>
          <w:szCs w:val="24"/>
        </w:rPr>
      </w:pPr>
      <w:r w:rsidRPr="005967E9">
        <w:rPr>
          <w:b/>
          <w:sz w:val="24"/>
          <w:szCs w:val="24"/>
        </w:rPr>
        <w:t>TEXTS:</w:t>
      </w:r>
    </w:p>
    <w:p w:rsidR="001477F5" w:rsidRPr="005967E9" w:rsidRDefault="001477F5" w:rsidP="001477F5">
      <w:pPr>
        <w:pStyle w:val="xmsonormal"/>
        <w:contextualSpacing/>
        <w:rPr>
          <w:rFonts w:asciiTheme="minorHAnsi" w:hAnsiTheme="minorHAnsi"/>
        </w:rPr>
      </w:pPr>
      <w:proofErr w:type="spellStart"/>
      <w:r w:rsidRPr="005967E9">
        <w:rPr>
          <w:rFonts w:asciiTheme="minorHAnsi" w:hAnsiTheme="minorHAnsi"/>
        </w:rPr>
        <w:t>Pollan</w:t>
      </w:r>
      <w:proofErr w:type="spellEnd"/>
      <w:r w:rsidRPr="005967E9">
        <w:rPr>
          <w:rFonts w:asciiTheme="minorHAnsi" w:hAnsiTheme="minorHAnsi"/>
        </w:rPr>
        <w:t xml:space="preserve">, </w:t>
      </w:r>
      <w:r w:rsidRPr="005967E9">
        <w:rPr>
          <w:rFonts w:asciiTheme="minorHAnsi" w:hAnsiTheme="minorHAnsi"/>
          <w:i/>
        </w:rPr>
        <w:t>Botany of Desire</w:t>
      </w:r>
    </w:p>
    <w:p w:rsidR="001477F5" w:rsidRPr="005967E9" w:rsidRDefault="001477F5" w:rsidP="001477F5">
      <w:pPr>
        <w:pStyle w:val="xmsonormal"/>
        <w:contextualSpacing/>
        <w:rPr>
          <w:rFonts w:asciiTheme="minorHAnsi" w:hAnsiTheme="minorHAnsi"/>
        </w:rPr>
      </w:pPr>
      <w:proofErr w:type="spellStart"/>
      <w:r w:rsidRPr="005967E9">
        <w:rPr>
          <w:rFonts w:asciiTheme="minorHAnsi" w:hAnsiTheme="minorHAnsi"/>
        </w:rPr>
        <w:t>Beckert</w:t>
      </w:r>
      <w:proofErr w:type="spellEnd"/>
      <w:r w:rsidRPr="005967E9">
        <w:rPr>
          <w:rFonts w:asciiTheme="minorHAnsi" w:hAnsiTheme="minorHAnsi"/>
        </w:rPr>
        <w:t xml:space="preserve">, </w:t>
      </w:r>
      <w:r w:rsidRPr="005967E9">
        <w:rPr>
          <w:rFonts w:asciiTheme="minorHAnsi" w:hAnsiTheme="minorHAnsi"/>
          <w:i/>
        </w:rPr>
        <w:t>Empire of Cotton</w:t>
      </w:r>
    </w:p>
    <w:p w:rsidR="001477F5" w:rsidRPr="005967E9" w:rsidRDefault="001477F5" w:rsidP="001477F5">
      <w:pPr>
        <w:pStyle w:val="xmsonormal"/>
        <w:contextualSpacing/>
        <w:rPr>
          <w:rFonts w:asciiTheme="minorHAnsi" w:hAnsiTheme="minorHAnsi"/>
        </w:rPr>
      </w:pPr>
      <w:proofErr w:type="spellStart"/>
      <w:r w:rsidRPr="005967E9">
        <w:rPr>
          <w:rFonts w:asciiTheme="minorHAnsi" w:hAnsiTheme="minorHAnsi"/>
        </w:rPr>
        <w:t>Latour</w:t>
      </w:r>
      <w:proofErr w:type="spellEnd"/>
      <w:r w:rsidRPr="005967E9">
        <w:rPr>
          <w:rFonts w:asciiTheme="minorHAnsi" w:hAnsiTheme="minorHAnsi"/>
        </w:rPr>
        <w:t xml:space="preserve">, </w:t>
      </w:r>
      <w:r w:rsidRPr="005967E9">
        <w:rPr>
          <w:rFonts w:asciiTheme="minorHAnsi" w:hAnsiTheme="minorHAnsi"/>
          <w:i/>
        </w:rPr>
        <w:t>Reassembling the Social</w:t>
      </w:r>
    </w:p>
    <w:p w:rsidR="001477F5" w:rsidRPr="005967E9" w:rsidRDefault="001477F5" w:rsidP="001477F5">
      <w:pPr>
        <w:pStyle w:val="xmsonormal"/>
        <w:contextualSpacing/>
        <w:rPr>
          <w:rFonts w:asciiTheme="minorHAnsi" w:hAnsiTheme="minorHAnsi"/>
        </w:rPr>
      </w:pPr>
      <w:proofErr w:type="spellStart"/>
      <w:r w:rsidRPr="005967E9">
        <w:rPr>
          <w:rFonts w:asciiTheme="minorHAnsi" w:hAnsiTheme="minorHAnsi"/>
        </w:rPr>
        <w:t>Mintz</w:t>
      </w:r>
      <w:proofErr w:type="spellEnd"/>
      <w:r w:rsidRPr="005967E9">
        <w:rPr>
          <w:rFonts w:asciiTheme="minorHAnsi" w:hAnsiTheme="minorHAnsi"/>
        </w:rPr>
        <w:t xml:space="preserve">, </w:t>
      </w:r>
      <w:r w:rsidRPr="005967E9">
        <w:rPr>
          <w:rFonts w:asciiTheme="minorHAnsi" w:hAnsiTheme="minorHAnsi"/>
          <w:i/>
        </w:rPr>
        <w:t>Sweetness and Power</w:t>
      </w:r>
    </w:p>
    <w:p w:rsidR="001477F5" w:rsidRPr="005967E9" w:rsidRDefault="001477F5" w:rsidP="001477F5">
      <w:pPr>
        <w:pStyle w:val="xmsonormal"/>
        <w:rPr>
          <w:rFonts w:asciiTheme="minorHAnsi" w:hAnsiTheme="minorHAnsi"/>
        </w:rPr>
      </w:pPr>
      <w:r w:rsidRPr="005967E9">
        <w:rPr>
          <w:rFonts w:asciiTheme="minorHAnsi" w:hAnsiTheme="minorHAnsi"/>
        </w:rPr>
        <w:t xml:space="preserve">Anderson, </w:t>
      </w:r>
      <w:r w:rsidRPr="005967E9">
        <w:rPr>
          <w:rFonts w:asciiTheme="minorHAnsi" w:hAnsiTheme="minorHAnsi"/>
          <w:i/>
        </w:rPr>
        <w:t>Mahogany</w:t>
      </w:r>
    </w:p>
    <w:p w:rsidR="001477F5" w:rsidRPr="005967E9" w:rsidRDefault="001477F5">
      <w:pPr>
        <w:rPr>
          <w:sz w:val="24"/>
          <w:szCs w:val="24"/>
        </w:rPr>
      </w:pPr>
      <w:r w:rsidRPr="005967E9">
        <w:rPr>
          <w:sz w:val="24"/>
          <w:szCs w:val="24"/>
        </w:rPr>
        <w:t>Other readings will be available as PDF files that you may download, and if you so desire, print.</w:t>
      </w:r>
    </w:p>
    <w:p w:rsidR="00701FB6" w:rsidRPr="005967E9" w:rsidRDefault="00701FB6">
      <w:pPr>
        <w:rPr>
          <w:b/>
          <w:sz w:val="24"/>
          <w:szCs w:val="24"/>
        </w:rPr>
      </w:pPr>
    </w:p>
    <w:p w:rsidR="00701FB6" w:rsidRPr="005967E9" w:rsidRDefault="00701FB6">
      <w:pPr>
        <w:rPr>
          <w:b/>
          <w:sz w:val="24"/>
          <w:szCs w:val="24"/>
        </w:rPr>
      </w:pPr>
      <w:r w:rsidRPr="005967E9">
        <w:rPr>
          <w:b/>
          <w:sz w:val="24"/>
          <w:szCs w:val="24"/>
        </w:rPr>
        <w:t>UNIVERSITY POLICIES:</w:t>
      </w:r>
    </w:p>
    <w:p w:rsidR="001477F5" w:rsidRPr="005967E9" w:rsidRDefault="001477F5" w:rsidP="001477F5">
      <w:pPr>
        <w:pStyle w:val="NormalWeb"/>
        <w:spacing w:before="0" w:beforeAutospacing="0" w:after="0" w:afterAutospacing="0"/>
        <w:rPr>
          <w:rFonts w:asciiTheme="minorHAnsi" w:hAnsiTheme="minorHAnsi" w:cs="Arial"/>
        </w:rPr>
      </w:pPr>
      <w:r w:rsidRPr="005967E9">
        <w:rPr>
          <w:rFonts w:asciiTheme="minorHAnsi" w:hAnsiTheme="minorHAnsi" w:cs="Arial"/>
          <w:b/>
        </w:rPr>
        <w:t xml:space="preserve">Drop Policy: </w:t>
      </w:r>
      <w:r w:rsidRPr="005967E9">
        <w:rPr>
          <w:rFonts w:asciiTheme="minorHAnsi" w:hAnsiTheme="minorHAnsi" w:cs="Arial"/>
        </w:rPr>
        <w:t xml:space="preserve">Students may drop or swap (adding and dropping a class concurrently) classes through self-service in </w:t>
      </w:r>
      <w:proofErr w:type="spellStart"/>
      <w:r w:rsidRPr="005967E9">
        <w:rPr>
          <w:rFonts w:asciiTheme="minorHAnsi" w:hAnsiTheme="minorHAnsi" w:cs="Arial"/>
        </w:rPr>
        <w:t>MyMav</w:t>
      </w:r>
      <w:proofErr w:type="spellEnd"/>
      <w:r w:rsidRPr="005967E9">
        <w:rPr>
          <w:rFonts w:asciiTheme="minorHAnsi" w:hAnsiTheme="minorHAnsi"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967E9">
        <w:rPr>
          <w:rStyle w:val="Strong"/>
          <w:rFonts w:asciiTheme="minorHAnsi" w:hAnsiTheme="minorHAnsi" w:cs="Arial"/>
        </w:rPr>
        <w:t>Students will not be automatically dropped for non-attendance</w:t>
      </w:r>
      <w:r w:rsidRPr="005967E9">
        <w:rPr>
          <w:rFonts w:asciiTheme="minorHAnsi" w:hAnsiTheme="minorHAnsi" w:cs="Arial"/>
        </w:rPr>
        <w:t>. Repayment of certain types of financial aid administered through the University may be required as the result of dropping classes or withdrawing. For more information, contact the Office of Financial Aid and Scholarships (</w:t>
      </w:r>
      <w:hyperlink r:id="rId6" w:history="1">
        <w:r w:rsidRPr="005967E9">
          <w:rPr>
            <w:rStyle w:val="Hyperlink"/>
            <w:rFonts w:asciiTheme="minorHAnsi" w:hAnsiTheme="minorHAnsi" w:cs="Arial"/>
          </w:rPr>
          <w:t>http://wweb.uta.edu/aao/fao/</w:t>
        </w:r>
      </w:hyperlink>
      <w:r w:rsidRPr="005967E9">
        <w:rPr>
          <w:rFonts w:asciiTheme="minorHAnsi" w:hAnsiTheme="minorHAnsi" w:cs="Arial"/>
        </w:rPr>
        <w:t>).</w:t>
      </w:r>
    </w:p>
    <w:p w:rsidR="001477F5" w:rsidRPr="005967E9" w:rsidRDefault="001477F5" w:rsidP="001477F5">
      <w:pPr>
        <w:pStyle w:val="NormalWeb"/>
        <w:spacing w:before="0" w:beforeAutospacing="0" w:after="0" w:afterAutospacing="0"/>
        <w:rPr>
          <w:rFonts w:asciiTheme="minorHAnsi" w:hAnsiTheme="minorHAnsi" w:cs="Arial"/>
        </w:rPr>
      </w:pPr>
    </w:p>
    <w:p w:rsidR="001477F5" w:rsidRPr="005967E9" w:rsidRDefault="001477F5" w:rsidP="001477F5">
      <w:pPr>
        <w:rPr>
          <w:rFonts w:cs="Arial"/>
          <w:b/>
          <w:sz w:val="24"/>
          <w:szCs w:val="24"/>
          <w:u w:val="single"/>
        </w:rPr>
      </w:pPr>
      <w:r w:rsidRPr="005967E9">
        <w:rPr>
          <w:rFonts w:cs="Arial"/>
          <w:b/>
          <w:bCs/>
          <w:sz w:val="24"/>
          <w:szCs w:val="24"/>
        </w:rPr>
        <w:t xml:space="preserve">Disability Accommodations: </w:t>
      </w:r>
      <w:r w:rsidRPr="005967E9">
        <w:rPr>
          <w:rFonts w:cs="Arial"/>
          <w:sz w:val="24"/>
          <w:szCs w:val="24"/>
        </w:rPr>
        <w:t>UT</w:t>
      </w:r>
      <w:r w:rsidRPr="005967E9">
        <w:rPr>
          <w:rFonts w:cs="Arial"/>
          <w:b/>
          <w:sz w:val="24"/>
          <w:szCs w:val="24"/>
        </w:rPr>
        <w:t xml:space="preserve"> </w:t>
      </w:r>
      <w:r w:rsidRPr="005967E9">
        <w:rPr>
          <w:rFonts w:cs="Arial"/>
          <w:sz w:val="24"/>
          <w:szCs w:val="24"/>
        </w:rPr>
        <w:t xml:space="preserve">Arlington is on record as being committed to both the spirit and letter of all federal equal opportunity legislation, including </w:t>
      </w:r>
      <w:r w:rsidRPr="005967E9">
        <w:rPr>
          <w:rFonts w:cs="Arial"/>
          <w:i/>
          <w:sz w:val="24"/>
          <w:szCs w:val="24"/>
        </w:rPr>
        <w:t xml:space="preserve">The Americans with Disabilities Act (ADA), The Americans with Disabilities Amendments Act (ADAAA), </w:t>
      </w:r>
      <w:r w:rsidRPr="005967E9">
        <w:rPr>
          <w:rFonts w:cs="Arial"/>
          <w:sz w:val="24"/>
          <w:szCs w:val="24"/>
        </w:rPr>
        <w:t xml:space="preserve">and </w:t>
      </w:r>
      <w:r w:rsidRPr="005967E9">
        <w:rPr>
          <w:rFonts w:cs="Arial"/>
          <w:i/>
          <w:sz w:val="24"/>
          <w:szCs w:val="24"/>
        </w:rPr>
        <w:t xml:space="preserve">Section 504 of the Rehabilitation Act. </w:t>
      </w:r>
      <w:r w:rsidRPr="005967E9">
        <w:rPr>
          <w:rFonts w:cs="Arial"/>
          <w:sz w:val="24"/>
          <w:szCs w:val="24"/>
        </w:rPr>
        <w:t xml:space="preserve">All instructors at UT Arlington are required by law to provide “reasonable </w:t>
      </w:r>
      <w:r w:rsidRPr="005967E9">
        <w:rPr>
          <w:rFonts w:cs="Arial"/>
          <w:sz w:val="24"/>
          <w:szCs w:val="24"/>
        </w:rPr>
        <w:lastRenderedPageBreak/>
        <w:t xml:space="preserve">accommodations” to students with disabilities, so as not to discriminate on the basis of disability. Students are responsible for providing the instructor with official notification in the form of </w:t>
      </w:r>
      <w:r w:rsidRPr="005967E9">
        <w:rPr>
          <w:rFonts w:cs="Arial"/>
          <w:b/>
          <w:sz w:val="24"/>
          <w:szCs w:val="24"/>
        </w:rPr>
        <w:t>a letter certified</w:t>
      </w:r>
      <w:r w:rsidRPr="005967E9">
        <w:rPr>
          <w:rFonts w:cs="Arial"/>
          <w:sz w:val="24"/>
          <w:szCs w:val="24"/>
        </w:rPr>
        <w:t xml:space="preserve"> by the Office for Students with Disabilities (OSD).</w:t>
      </w:r>
      <w:r w:rsidRPr="005967E9">
        <w:rPr>
          <w:rFonts w:cs="Arial"/>
          <w:b/>
          <w:sz w:val="24"/>
          <w:szCs w:val="24"/>
          <w:u w:val="single"/>
        </w:rPr>
        <w:t xml:space="preserve"> </w:t>
      </w:r>
      <w:r w:rsidRPr="005967E9">
        <w:rPr>
          <w:rFonts w:cs="Arial"/>
          <w:b/>
          <w:sz w:val="24"/>
          <w:szCs w:val="24"/>
        </w:rPr>
        <w:t xml:space="preserve"> </w:t>
      </w:r>
      <w:r w:rsidRPr="005967E9">
        <w:rPr>
          <w:rFonts w:cs="Arial"/>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5967E9">
        <w:rPr>
          <w:rFonts w:cs="Arial"/>
          <w:b/>
          <w:sz w:val="24"/>
          <w:szCs w:val="24"/>
        </w:rPr>
        <w:t>The Office for Students with Disabilities, (OSD)</w:t>
      </w:r>
      <w:r w:rsidRPr="005967E9">
        <w:rPr>
          <w:rFonts w:cs="Arial"/>
          <w:sz w:val="24"/>
          <w:szCs w:val="24"/>
        </w:rPr>
        <w:t xml:space="preserve">  </w:t>
      </w:r>
      <w:hyperlink r:id="rId7" w:history="1">
        <w:r w:rsidRPr="005967E9">
          <w:rPr>
            <w:rStyle w:val="Hyperlink"/>
            <w:rFonts w:cs="Arial"/>
            <w:sz w:val="24"/>
            <w:szCs w:val="24"/>
          </w:rPr>
          <w:t>www.uta.edu/disability</w:t>
        </w:r>
      </w:hyperlink>
      <w:r w:rsidRPr="005967E9">
        <w:rPr>
          <w:rFonts w:cs="Arial"/>
          <w:sz w:val="24"/>
          <w:szCs w:val="24"/>
        </w:rPr>
        <w:t xml:space="preserve"> or calling 817-272-3364. Information regarding diagnostic criteria and policies for obtaining disability-based academic accommodations can be found at </w:t>
      </w:r>
      <w:hyperlink r:id="rId8" w:history="1">
        <w:r w:rsidRPr="005967E9">
          <w:rPr>
            <w:rStyle w:val="Hyperlink"/>
            <w:rFonts w:cs="Arial"/>
            <w:sz w:val="24"/>
            <w:szCs w:val="24"/>
          </w:rPr>
          <w:t>www.uta.edu/disability</w:t>
        </w:r>
      </w:hyperlink>
      <w:r w:rsidRPr="005967E9">
        <w:rPr>
          <w:rStyle w:val="Hyperlink"/>
          <w:rFonts w:cs="Arial"/>
          <w:sz w:val="24"/>
          <w:szCs w:val="24"/>
        </w:rPr>
        <w:t>.</w:t>
      </w:r>
    </w:p>
    <w:p w:rsidR="001477F5" w:rsidRPr="005967E9" w:rsidRDefault="001477F5" w:rsidP="001477F5">
      <w:pPr>
        <w:rPr>
          <w:sz w:val="24"/>
          <w:szCs w:val="24"/>
        </w:rPr>
      </w:pPr>
      <w:r w:rsidRPr="005967E9">
        <w:rPr>
          <w:rFonts w:cs="Arial"/>
          <w:sz w:val="24"/>
          <w:szCs w:val="24"/>
        </w:rPr>
        <w:t xml:space="preserve">Counseling and Psychological Services (CAPS) </w:t>
      </w:r>
      <w:hyperlink r:id="rId9" w:history="1">
        <w:r w:rsidRPr="005967E9">
          <w:rPr>
            <w:rStyle w:val="Hyperlink"/>
            <w:rFonts w:cs="Arial"/>
            <w:sz w:val="24"/>
            <w:szCs w:val="24"/>
          </w:rPr>
          <w:t>www.uta.edu/caps/</w:t>
        </w:r>
      </w:hyperlink>
      <w:r w:rsidRPr="005967E9">
        <w:rPr>
          <w:rFonts w:cs="Arial"/>
          <w:sz w:val="24"/>
          <w:szCs w:val="24"/>
        </w:rPr>
        <w:t xml:space="preserve"> or calling 817-272-3671 is also available to all students </w:t>
      </w:r>
      <w:r w:rsidRPr="005967E9">
        <w:rPr>
          <w:rFonts w:cs="Arial"/>
          <w:color w:val="333333"/>
          <w:sz w:val="24"/>
          <w:szCs w:val="24"/>
          <w:shd w:val="clear" w:color="auto" w:fill="FFFFFF"/>
        </w:rPr>
        <w:t xml:space="preserve">to help increase their understanding of personal issues, address mental and behavioral health problems and make positive changes in their lives. </w:t>
      </w:r>
    </w:p>
    <w:p w:rsidR="001477F5" w:rsidRPr="005967E9" w:rsidRDefault="001477F5" w:rsidP="001477F5">
      <w:pPr>
        <w:rPr>
          <w:i/>
          <w:iCs/>
          <w:sz w:val="24"/>
          <w:szCs w:val="24"/>
        </w:rPr>
      </w:pPr>
      <w:r w:rsidRPr="005967E9">
        <w:rPr>
          <w:b/>
          <w:bCs/>
          <w:sz w:val="24"/>
          <w:szCs w:val="24"/>
        </w:rPr>
        <w:t>Non-Discrimination Policy:</w:t>
      </w:r>
      <w:r w:rsidRPr="005967E9">
        <w:rPr>
          <w:sz w:val="24"/>
          <w:szCs w:val="24"/>
        </w:rPr>
        <w:t xml:space="preserve"> </w:t>
      </w:r>
      <w:r w:rsidRPr="005967E9">
        <w:rPr>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0" w:history="1">
        <w:r w:rsidRPr="005967E9">
          <w:rPr>
            <w:rStyle w:val="Hyperlink"/>
            <w:i/>
            <w:iCs/>
            <w:sz w:val="24"/>
            <w:szCs w:val="24"/>
          </w:rPr>
          <w:t>uta.edu/</w:t>
        </w:r>
        <w:proofErr w:type="spellStart"/>
        <w:r w:rsidRPr="005967E9">
          <w:rPr>
            <w:rStyle w:val="Hyperlink"/>
            <w:i/>
            <w:iCs/>
            <w:sz w:val="24"/>
            <w:szCs w:val="24"/>
          </w:rPr>
          <w:t>eos</w:t>
        </w:r>
        <w:proofErr w:type="spellEnd"/>
      </w:hyperlink>
      <w:r w:rsidRPr="005967E9">
        <w:rPr>
          <w:i/>
          <w:iCs/>
          <w:sz w:val="24"/>
          <w:szCs w:val="24"/>
        </w:rPr>
        <w:t>.</w:t>
      </w:r>
    </w:p>
    <w:p w:rsidR="001477F5" w:rsidRPr="005967E9" w:rsidRDefault="001477F5" w:rsidP="001477F5">
      <w:pPr>
        <w:rPr>
          <w:sz w:val="24"/>
          <w:szCs w:val="24"/>
        </w:rPr>
      </w:pPr>
      <w:r w:rsidRPr="005967E9">
        <w:rPr>
          <w:b/>
          <w:iCs/>
          <w:sz w:val="24"/>
          <w:szCs w:val="24"/>
        </w:rPr>
        <w:t xml:space="preserve">Title IX Policy: </w:t>
      </w:r>
      <w:r w:rsidRPr="005967E9">
        <w:rPr>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5967E9">
        <w:rPr>
          <w:iCs/>
          <w:sz w:val="24"/>
          <w:szCs w:val="24"/>
        </w:rPr>
        <w:t>SaVE</w:t>
      </w:r>
      <w:proofErr w:type="spellEnd"/>
      <w:r w:rsidRPr="005967E9">
        <w:rPr>
          <w:iCs/>
          <w:sz w:val="24"/>
          <w:szCs w:val="24"/>
        </w:rPr>
        <w:t xml:space="preserve"> Act). Sexual misconduct is a form of sex discrimination and will not be tolerated.</w:t>
      </w:r>
      <w:r w:rsidRPr="005967E9">
        <w:rPr>
          <w:rFonts w:cs="Arial"/>
          <w:b/>
          <w:iCs/>
          <w:sz w:val="24"/>
          <w:szCs w:val="24"/>
        </w:rPr>
        <w:t xml:space="preserve"> </w:t>
      </w:r>
      <w:r w:rsidRPr="005967E9">
        <w:rPr>
          <w:rFonts w:cs="Arial"/>
          <w:i/>
          <w:iCs/>
          <w:color w:val="000000"/>
          <w:sz w:val="24"/>
          <w:szCs w:val="24"/>
          <w:shd w:val="clear" w:color="auto" w:fill="FFFFFF"/>
        </w:rPr>
        <w:t>For information regarding Title IX, visit</w:t>
      </w:r>
      <w:r w:rsidRPr="005967E9">
        <w:rPr>
          <w:rFonts w:cs="Arial"/>
          <w:sz w:val="24"/>
          <w:szCs w:val="24"/>
        </w:rPr>
        <w:t xml:space="preserve"> </w:t>
      </w:r>
      <w:hyperlink r:id="rId11" w:history="1">
        <w:r w:rsidRPr="005967E9">
          <w:rPr>
            <w:rStyle w:val="Hyperlink"/>
            <w:rFonts w:cs="Arial"/>
            <w:sz w:val="24"/>
            <w:szCs w:val="24"/>
          </w:rPr>
          <w:t>www.uta.edu/titleIX</w:t>
        </w:r>
      </w:hyperlink>
      <w:r w:rsidRPr="005967E9">
        <w:rPr>
          <w:sz w:val="24"/>
          <w:szCs w:val="24"/>
        </w:rPr>
        <w:t xml:space="preserve"> or contact Ms. Jean Hood, Vice President and Title IX Coordinator at (817) 272-7091 or </w:t>
      </w:r>
      <w:hyperlink r:id="rId12" w:history="1">
        <w:r w:rsidRPr="005967E9">
          <w:rPr>
            <w:rStyle w:val="Hyperlink"/>
            <w:sz w:val="24"/>
            <w:szCs w:val="24"/>
          </w:rPr>
          <w:t>jmhood@uta.edu</w:t>
        </w:r>
      </w:hyperlink>
      <w:r w:rsidRPr="005967E9">
        <w:rPr>
          <w:sz w:val="24"/>
          <w:szCs w:val="24"/>
        </w:rPr>
        <w:t>.</w:t>
      </w:r>
    </w:p>
    <w:p w:rsidR="001477F5" w:rsidRPr="005967E9" w:rsidRDefault="001477F5" w:rsidP="001477F5">
      <w:pPr>
        <w:keepNext/>
        <w:rPr>
          <w:rFonts w:cs="Arial"/>
          <w:sz w:val="24"/>
          <w:szCs w:val="24"/>
        </w:rPr>
      </w:pPr>
      <w:r w:rsidRPr="005967E9">
        <w:rPr>
          <w:rFonts w:cs="Arial"/>
          <w:b/>
          <w:bCs/>
          <w:sz w:val="24"/>
          <w:szCs w:val="24"/>
        </w:rPr>
        <w:t xml:space="preserve">Academic Integrity: </w:t>
      </w:r>
      <w:r w:rsidRPr="005967E9">
        <w:rPr>
          <w:rFonts w:cs="Arial"/>
          <w:sz w:val="24"/>
          <w:szCs w:val="24"/>
        </w:rPr>
        <w:t>Students enrolled all UT Arlington courses are expected to adhere to the UT Arlington Honor Code:</w:t>
      </w:r>
    </w:p>
    <w:p w:rsidR="001477F5" w:rsidRPr="005967E9" w:rsidRDefault="001477F5" w:rsidP="001477F5">
      <w:pPr>
        <w:keepNext/>
        <w:rPr>
          <w:rFonts w:cs="Arial"/>
          <w:sz w:val="24"/>
          <w:szCs w:val="24"/>
        </w:rPr>
      </w:pPr>
    </w:p>
    <w:p w:rsidR="001477F5" w:rsidRPr="005967E9" w:rsidRDefault="001477F5" w:rsidP="001477F5">
      <w:pPr>
        <w:pStyle w:val="Default"/>
        <w:spacing w:after="80"/>
        <w:ind w:left="720" w:right="432"/>
        <w:jc w:val="both"/>
        <w:rPr>
          <w:rFonts w:asciiTheme="minorHAnsi" w:hAnsiTheme="minorHAnsi" w:cs="Arial"/>
          <w:i/>
        </w:rPr>
      </w:pPr>
      <w:r w:rsidRPr="005967E9">
        <w:rPr>
          <w:rFonts w:asciiTheme="minorHAnsi" w:hAnsiTheme="minorHAnsi" w:cs="Arial"/>
          <w:i/>
        </w:rPr>
        <w:t xml:space="preserve">I pledge, on my honor, to uphold UT Arlington’s tradition of academic integrity, a tradition that values hard work and honest effort in the pursuit of academic excellence. </w:t>
      </w:r>
    </w:p>
    <w:p w:rsidR="001477F5" w:rsidRPr="005967E9" w:rsidRDefault="001477F5" w:rsidP="001477F5">
      <w:pPr>
        <w:pStyle w:val="Default"/>
        <w:spacing w:after="80"/>
        <w:ind w:left="720" w:right="432"/>
        <w:jc w:val="both"/>
        <w:rPr>
          <w:rFonts w:asciiTheme="minorHAnsi" w:hAnsiTheme="minorHAnsi" w:cs="Arial"/>
          <w:i/>
        </w:rPr>
      </w:pPr>
      <w:r w:rsidRPr="005967E9">
        <w:rPr>
          <w:rFonts w:asciiTheme="minorHAnsi" w:hAnsiTheme="minorHAnsi"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477F5" w:rsidRPr="005967E9" w:rsidRDefault="001477F5" w:rsidP="001477F5">
      <w:pPr>
        <w:keepNext/>
        <w:rPr>
          <w:rFonts w:cs="Arial"/>
          <w:sz w:val="24"/>
          <w:szCs w:val="24"/>
        </w:rPr>
      </w:pPr>
    </w:p>
    <w:p w:rsidR="001477F5" w:rsidRPr="005967E9" w:rsidRDefault="001477F5" w:rsidP="001477F5">
      <w:pPr>
        <w:keepNext/>
        <w:rPr>
          <w:rFonts w:cs="Arial"/>
          <w:sz w:val="24"/>
          <w:szCs w:val="24"/>
        </w:rPr>
      </w:pPr>
      <w:r w:rsidRPr="005967E9">
        <w:rPr>
          <w:rFonts w:cs="Arial"/>
          <w:sz w:val="24"/>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5967E9">
        <w:rPr>
          <w:rFonts w:cs="Arial"/>
          <w:i/>
          <w:sz w:val="24"/>
          <w:szCs w:val="24"/>
        </w:rPr>
        <w:t>Regents’ Rule</w:t>
      </w:r>
      <w:r w:rsidRPr="005967E9">
        <w:rPr>
          <w:rFonts w:cs="Arial"/>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3" w:history="1">
        <w:r w:rsidRPr="005967E9">
          <w:rPr>
            <w:rStyle w:val="Hyperlink"/>
            <w:rFonts w:cs="Arial"/>
            <w:sz w:val="24"/>
            <w:szCs w:val="24"/>
          </w:rPr>
          <w:t>https://www.uta.edu/conduct/</w:t>
        </w:r>
      </w:hyperlink>
      <w:r w:rsidRPr="005967E9">
        <w:rPr>
          <w:rFonts w:cs="Arial"/>
          <w:sz w:val="24"/>
          <w:szCs w:val="24"/>
        </w:rPr>
        <w:t xml:space="preserve">. </w:t>
      </w:r>
    </w:p>
    <w:p w:rsidR="001477F5" w:rsidRPr="005967E9" w:rsidRDefault="001477F5" w:rsidP="001477F5">
      <w:pPr>
        <w:rPr>
          <w:rFonts w:cs="Arial"/>
          <w:sz w:val="24"/>
          <w:szCs w:val="24"/>
        </w:rPr>
      </w:pPr>
      <w:r w:rsidRPr="005967E9">
        <w:rPr>
          <w:rFonts w:cs="Arial"/>
          <w:b/>
          <w:sz w:val="24"/>
          <w:szCs w:val="24"/>
        </w:rPr>
        <w:t xml:space="preserve">Electronic Communication: </w:t>
      </w:r>
      <w:r w:rsidRPr="005967E9">
        <w:rPr>
          <w:rFonts w:cs="Arial"/>
          <w:sz w:val="24"/>
          <w:szCs w:val="24"/>
        </w:rPr>
        <w:t xml:space="preserve">UT Arlington has adopted </w:t>
      </w:r>
      <w:proofErr w:type="spellStart"/>
      <w:r w:rsidRPr="005967E9">
        <w:rPr>
          <w:rFonts w:cs="Arial"/>
          <w:sz w:val="24"/>
          <w:szCs w:val="24"/>
        </w:rPr>
        <w:t>MavMail</w:t>
      </w:r>
      <w:proofErr w:type="spellEnd"/>
      <w:r w:rsidRPr="005967E9">
        <w:rPr>
          <w:rFonts w:cs="Arial"/>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5967E9">
        <w:rPr>
          <w:rFonts w:cs="Arial"/>
          <w:sz w:val="24"/>
          <w:szCs w:val="24"/>
        </w:rPr>
        <w:t>MavMail</w:t>
      </w:r>
      <w:proofErr w:type="spellEnd"/>
      <w:r w:rsidRPr="005967E9">
        <w:rPr>
          <w:rFonts w:cs="Arial"/>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5967E9">
        <w:rPr>
          <w:rFonts w:cs="Arial"/>
          <w:sz w:val="24"/>
          <w:szCs w:val="24"/>
        </w:rPr>
        <w:t>MavMail</w:t>
      </w:r>
      <w:proofErr w:type="spellEnd"/>
      <w:r w:rsidRPr="005967E9">
        <w:rPr>
          <w:rFonts w:cs="Arial"/>
          <w:sz w:val="24"/>
          <w:szCs w:val="24"/>
        </w:rPr>
        <w:t xml:space="preserve"> is available at </w:t>
      </w:r>
      <w:hyperlink r:id="rId14" w:history="1">
        <w:r w:rsidRPr="005967E9">
          <w:rPr>
            <w:rStyle w:val="Hyperlink"/>
            <w:rFonts w:cs="Arial"/>
            <w:sz w:val="24"/>
            <w:szCs w:val="24"/>
          </w:rPr>
          <w:t>http://www.uta.edu/oit/cs/email/mavmail.php</w:t>
        </w:r>
      </w:hyperlink>
      <w:r w:rsidRPr="005967E9">
        <w:rPr>
          <w:rFonts w:cs="Arial"/>
          <w:sz w:val="24"/>
          <w:szCs w:val="24"/>
        </w:rPr>
        <w:t>.</w:t>
      </w:r>
    </w:p>
    <w:p w:rsidR="001477F5" w:rsidRPr="005967E9" w:rsidRDefault="001477F5" w:rsidP="001477F5">
      <w:pPr>
        <w:rPr>
          <w:rFonts w:cs="Arial"/>
          <w:sz w:val="24"/>
          <w:szCs w:val="24"/>
        </w:rPr>
      </w:pPr>
      <w:r w:rsidRPr="005967E9">
        <w:rPr>
          <w:rFonts w:cs="Arial"/>
          <w:b/>
          <w:sz w:val="24"/>
          <w:szCs w:val="24"/>
        </w:rPr>
        <w:t>Campus Carry:</w:t>
      </w:r>
      <w:r w:rsidRPr="005967E9">
        <w:rPr>
          <w:rFonts w:cs="Arial"/>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5" w:history="1">
        <w:r w:rsidRPr="005967E9">
          <w:rPr>
            <w:rStyle w:val="Hyperlink"/>
            <w:rFonts w:cs="Arial"/>
            <w:sz w:val="24"/>
            <w:szCs w:val="24"/>
          </w:rPr>
          <w:t>http://www.uta.edu/news/info/campus-carry/</w:t>
        </w:r>
      </w:hyperlink>
    </w:p>
    <w:p w:rsidR="001477F5" w:rsidRPr="005967E9" w:rsidRDefault="001477F5" w:rsidP="001477F5">
      <w:pPr>
        <w:rPr>
          <w:rFonts w:cs="Arial"/>
          <w:sz w:val="24"/>
          <w:szCs w:val="24"/>
        </w:rPr>
      </w:pPr>
      <w:r w:rsidRPr="005967E9">
        <w:rPr>
          <w:rFonts w:cs="Arial"/>
          <w:b/>
          <w:sz w:val="24"/>
          <w:szCs w:val="24"/>
        </w:rPr>
        <w:t xml:space="preserve">Student Feedback Survey: </w:t>
      </w:r>
      <w:r w:rsidRPr="005967E9">
        <w:rPr>
          <w:rFonts w:cs="Arial"/>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5967E9">
        <w:rPr>
          <w:rFonts w:cs="Arial"/>
          <w:bCs/>
          <w:sz w:val="24"/>
          <w:szCs w:val="24"/>
        </w:rPr>
        <w:t>MavMail</w:t>
      </w:r>
      <w:proofErr w:type="spellEnd"/>
      <w:r w:rsidRPr="005967E9">
        <w:rPr>
          <w:rFonts w:cs="Arial"/>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6" w:history="1">
        <w:r w:rsidRPr="005967E9">
          <w:rPr>
            <w:rStyle w:val="Hyperlink"/>
            <w:rFonts w:cs="Arial"/>
            <w:bCs/>
            <w:sz w:val="24"/>
            <w:szCs w:val="24"/>
          </w:rPr>
          <w:t>http://www.uta.edu/sfs</w:t>
        </w:r>
      </w:hyperlink>
      <w:r w:rsidRPr="005967E9">
        <w:rPr>
          <w:rFonts w:cs="Arial"/>
          <w:bCs/>
          <w:sz w:val="24"/>
          <w:szCs w:val="24"/>
        </w:rPr>
        <w:t>.</w:t>
      </w:r>
    </w:p>
    <w:p w:rsidR="001477F5" w:rsidRPr="005967E9" w:rsidRDefault="001477F5" w:rsidP="001477F5">
      <w:pPr>
        <w:rPr>
          <w:rFonts w:cs="Arial"/>
          <w:sz w:val="24"/>
          <w:szCs w:val="24"/>
        </w:rPr>
      </w:pPr>
      <w:r w:rsidRPr="005967E9">
        <w:rPr>
          <w:rFonts w:cs="Arial"/>
          <w:b/>
          <w:bCs/>
          <w:sz w:val="24"/>
          <w:szCs w:val="24"/>
        </w:rPr>
        <w:t xml:space="preserve">Final Review Week: </w:t>
      </w:r>
      <w:r w:rsidRPr="005967E9">
        <w:rPr>
          <w:rFonts w:cs="Arial"/>
          <w:bCs/>
          <w:sz w:val="24"/>
          <w:szCs w:val="24"/>
        </w:rPr>
        <w:t>for semester-long courses</w:t>
      </w:r>
      <w:r w:rsidRPr="005967E9">
        <w:rPr>
          <w:rFonts w:cs="Arial"/>
          <w:b/>
          <w:bCs/>
          <w:sz w:val="24"/>
          <w:szCs w:val="24"/>
        </w:rPr>
        <w:t xml:space="preserve">, </w:t>
      </w:r>
      <w:r w:rsidRPr="005967E9">
        <w:rPr>
          <w:rFonts w:cs="Arial"/>
          <w:bCs/>
          <w:sz w:val="24"/>
          <w:szCs w:val="24"/>
        </w:rPr>
        <w:t>a</w:t>
      </w:r>
      <w:r w:rsidRPr="005967E9">
        <w:rPr>
          <w:rFonts w:cs="Arial"/>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967E9">
        <w:rPr>
          <w:rFonts w:cs="Arial"/>
          <w:i/>
          <w:sz w:val="24"/>
          <w:szCs w:val="24"/>
        </w:rPr>
        <w:t>unless specified in the class syllabus</w:t>
      </w:r>
      <w:r w:rsidRPr="005967E9">
        <w:rPr>
          <w:rFonts w:cs="Arial"/>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t>
      </w:r>
      <w:r w:rsidRPr="005967E9">
        <w:rPr>
          <w:rFonts w:cs="Arial"/>
          <w:sz w:val="24"/>
          <w:szCs w:val="24"/>
        </w:rPr>
        <w:lastRenderedPageBreak/>
        <w:t>Week. During this week, classes are held as scheduled. In addition, instructors are not required to limit content to topics that have been previously covered; they may introduce new concepts as appropriate.</w:t>
      </w:r>
    </w:p>
    <w:p w:rsidR="001477F5" w:rsidRPr="005967E9" w:rsidRDefault="001477F5" w:rsidP="001477F5">
      <w:pPr>
        <w:rPr>
          <w:rFonts w:cs="Arial"/>
          <w:sz w:val="24"/>
          <w:szCs w:val="24"/>
        </w:rPr>
      </w:pPr>
      <w:r w:rsidRPr="005967E9">
        <w:rPr>
          <w:rFonts w:cs="Arial"/>
          <w:b/>
          <w:bCs/>
          <w:sz w:val="24"/>
          <w:szCs w:val="24"/>
        </w:rPr>
        <w:t>Emergency Exit Procedures:</w:t>
      </w:r>
      <w:r w:rsidRPr="005967E9">
        <w:rPr>
          <w:rFonts w:cs="Arial"/>
          <w:bCs/>
          <w:sz w:val="24"/>
          <w:szCs w:val="24"/>
        </w:rPr>
        <w:t xml:space="preserve"> </w:t>
      </w:r>
      <w:r w:rsidRPr="005967E9">
        <w:rPr>
          <w:rFonts w:cs="Arial"/>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1477F5" w:rsidRPr="005967E9" w:rsidRDefault="001477F5" w:rsidP="001477F5">
      <w:pPr>
        <w:rPr>
          <w:b/>
          <w:bCs/>
          <w:color w:val="0000FF"/>
          <w:sz w:val="24"/>
          <w:szCs w:val="24"/>
        </w:rPr>
      </w:pPr>
      <w:r w:rsidRPr="005967E9">
        <w:rPr>
          <w:rFonts w:cs="Arial"/>
          <w:b/>
          <w:bCs/>
          <w:sz w:val="24"/>
          <w:szCs w:val="24"/>
        </w:rPr>
        <w:t>Student Support Services</w:t>
      </w:r>
      <w:r w:rsidRPr="005967E9">
        <w:rPr>
          <w:rFonts w:cs="Arial"/>
          <w:sz w:val="24"/>
          <w:szCs w:val="24"/>
        </w:rPr>
        <w:t>:</w:t>
      </w:r>
      <w:r w:rsidRPr="005967E9">
        <w:rPr>
          <w:rFonts w:cs="Arial"/>
          <w:b/>
          <w:bCs/>
          <w:sz w:val="24"/>
          <w:szCs w:val="24"/>
        </w:rPr>
        <w:t xml:space="preserve"> </w:t>
      </w:r>
      <w:r w:rsidRPr="005967E9">
        <w:rPr>
          <w:rFonts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17" w:history="1">
        <w:r w:rsidRPr="005967E9">
          <w:rPr>
            <w:rStyle w:val="Hyperlink"/>
            <w:rFonts w:cs="Arial"/>
            <w:sz w:val="24"/>
            <w:szCs w:val="24"/>
          </w:rPr>
          <w:t>tutoring</w:t>
        </w:r>
      </w:hyperlink>
      <w:r w:rsidRPr="005967E9">
        <w:rPr>
          <w:rFonts w:cs="Arial"/>
          <w:sz w:val="24"/>
          <w:szCs w:val="24"/>
        </w:rPr>
        <w:t xml:space="preserve">, </w:t>
      </w:r>
      <w:hyperlink r:id="rId18" w:history="1">
        <w:r w:rsidRPr="005967E9">
          <w:rPr>
            <w:rStyle w:val="Hyperlink"/>
            <w:rFonts w:cs="Arial"/>
            <w:sz w:val="24"/>
            <w:szCs w:val="24"/>
          </w:rPr>
          <w:t>major-based learning centers</w:t>
        </w:r>
      </w:hyperlink>
      <w:r w:rsidRPr="005967E9">
        <w:rPr>
          <w:rFonts w:cs="Arial"/>
          <w:sz w:val="24"/>
          <w:szCs w:val="24"/>
        </w:rPr>
        <w:t xml:space="preserve">, developmental education, </w:t>
      </w:r>
      <w:hyperlink r:id="rId19" w:history="1">
        <w:r w:rsidRPr="005967E9">
          <w:rPr>
            <w:rStyle w:val="Hyperlink"/>
            <w:rFonts w:cs="Arial"/>
            <w:sz w:val="24"/>
            <w:szCs w:val="24"/>
          </w:rPr>
          <w:t>advising and mentoring</w:t>
        </w:r>
      </w:hyperlink>
      <w:r w:rsidRPr="005967E9">
        <w:rPr>
          <w:rFonts w:cs="Arial"/>
          <w:sz w:val="24"/>
          <w:szCs w:val="24"/>
        </w:rPr>
        <w:t xml:space="preserve">, personal counseling, and </w:t>
      </w:r>
      <w:hyperlink r:id="rId20" w:history="1">
        <w:r w:rsidRPr="005967E9">
          <w:rPr>
            <w:rStyle w:val="Hyperlink"/>
            <w:rFonts w:cs="Arial"/>
            <w:sz w:val="24"/>
            <w:szCs w:val="24"/>
          </w:rPr>
          <w:t>federally funded programs</w:t>
        </w:r>
      </w:hyperlink>
      <w:r w:rsidRPr="005967E9">
        <w:rPr>
          <w:rFonts w:cs="Arial"/>
          <w:sz w:val="24"/>
          <w:szCs w:val="24"/>
        </w:rPr>
        <w:t xml:space="preserve">. For individualized referrals, students may visit the reception desk at University College (Ransom Hall), call the Maverick Resource Hotline at 817-272-6107, send a message to </w:t>
      </w:r>
      <w:hyperlink r:id="rId21" w:history="1">
        <w:r w:rsidRPr="005967E9">
          <w:rPr>
            <w:rStyle w:val="Hyperlink"/>
            <w:rFonts w:cs="Arial"/>
            <w:sz w:val="24"/>
            <w:szCs w:val="24"/>
          </w:rPr>
          <w:t>resources@uta.edu</w:t>
        </w:r>
      </w:hyperlink>
      <w:r w:rsidRPr="005967E9">
        <w:rPr>
          <w:rFonts w:cs="Arial"/>
          <w:sz w:val="24"/>
          <w:szCs w:val="24"/>
        </w:rPr>
        <w:t xml:space="preserve">, or view the information at </w:t>
      </w:r>
      <w:hyperlink r:id="rId22" w:history="1">
        <w:r w:rsidRPr="005967E9">
          <w:rPr>
            <w:rStyle w:val="Hyperlink"/>
            <w:rFonts w:cs="Arial"/>
            <w:sz w:val="24"/>
            <w:szCs w:val="24"/>
          </w:rPr>
          <w:t>http://www.uta.edu/universitycollege/resources/index.php</w:t>
        </w:r>
      </w:hyperlink>
      <w:r w:rsidRPr="005967E9">
        <w:rPr>
          <w:rFonts w:cs="Arial"/>
          <w:sz w:val="24"/>
          <w:szCs w:val="24"/>
        </w:rPr>
        <w:t>.</w:t>
      </w:r>
    </w:p>
    <w:p w:rsidR="001477F5" w:rsidRPr="005967E9" w:rsidRDefault="001477F5" w:rsidP="001477F5">
      <w:pPr>
        <w:rPr>
          <w:rFonts w:cs="Arial"/>
          <w:sz w:val="24"/>
          <w:szCs w:val="24"/>
        </w:rPr>
      </w:pPr>
    </w:p>
    <w:p w:rsidR="00701FB6" w:rsidRPr="005967E9" w:rsidRDefault="00701FB6">
      <w:pPr>
        <w:spacing w:after="200" w:line="276" w:lineRule="auto"/>
        <w:rPr>
          <w:sz w:val="24"/>
          <w:szCs w:val="24"/>
        </w:rPr>
      </w:pPr>
      <w:r w:rsidRPr="005967E9">
        <w:rPr>
          <w:sz w:val="24"/>
          <w:szCs w:val="24"/>
        </w:rPr>
        <w:br w:type="page"/>
      </w:r>
    </w:p>
    <w:p w:rsidR="001477F5" w:rsidRPr="005967E9" w:rsidRDefault="005967E9">
      <w:pPr>
        <w:rPr>
          <w:sz w:val="24"/>
          <w:szCs w:val="24"/>
        </w:rPr>
      </w:pPr>
      <w:r w:rsidRPr="005967E9">
        <w:rPr>
          <w:b/>
          <w:sz w:val="24"/>
          <w:szCs w:val="24"/>
          <w:u w:val="single"/>
        </w:rPr>
        <w:lastRenderedPageBreak/>
        <w:t>SCHEDULE</w:t>
      </w:r>
    </w:p>
    <w:p w:rsidR="00EF2050" w:rsidRDefault="00EF2050">
      <w:pPr>
        <w:rPr>
          <w:sz w:val="24"/>
          <w:szCs w:val="24"/>
        </w:rPr>
      </w:pPr>
    </w:p>
    <w:p w:rsidR="005967E9" w:rsidRDefault="005967E9">
      <w:pPr>
        <w:rPr>
          <w:sz w:val="24"/>
          <w:szCs w:val="24"/>
        </w:rPr>
      </w:pPr>
      <w:r>
        <w:rPr>
          <w:sz w:val="24"/>
          <w:szCs w:val="24"/>
        </w:rPr>
        <w:t>Jan. 16</w:t>
      </w:r>
      <w:r w:rsidR="005423BC">
        <w:rPr>
          <w:sz w:val="24"/>
          <w:szCs w:val="24"/>
        </w:rPr>
        <w:tab/>
      </w:r>
      <w:r w:rsidR="005423BC">
        <w:rPr>
          <w:sz w:val="24"/>
          <w:szCs w:val="24"/>
        </w:rPr>
        <w:tab/>
      </w:r>
      <w:r w:rsidR="005423BC" w:rsidRPr="009D294D">
        <w:rPr>
          <w:sz w:val="24"/>
          <w:szCs w:val="24"/>
          <w:u w:val="single"/>
        </w:rPr>
        <w:t>Introduction</w:t>
      </w:r>
    </w:p>
    <w:p w:rsidR="005423BC" w:rsidRDefault="005967E9">
      <w:pPr>
        <w:rPr>
          <w:sz w:val="24"/>
          <w:szCs w:val="24"/>
        </w:rPr>
      </w:pPr>
      <w:r>
        <w:rPr>
          <w:sz w:val="24"/>
          <w:szCs w:val="24"/>
        </w:rPr>
        <w:t>Jan. 23</w:t>
      </w:r>
      <w:r w:rsidR="001D5634">
        <w:rPr>
          <w:sz w:val="24"/>
          <w:szCs w:val="24"/>
        </w:rPr>
        <w:tab/>
      </w:r>
      <w:r w:rsidR="001D5634">
        <w:rPr>
          <w:sz w:val="24"/>
          <w:szCs w:val="24"/>
        </w:rPr>
        <w:tab/>
      </w:r>
      <w:r w:rsidR="005423BC" w:rsidRPr="009D294D">
        <w:rPr>
          <w:sz w:val="24"/>
          <w:szCs w:val="24"/>
          <w:u w:val="single"/>
        </w:rPr>
        <w:t>Commodities in Economic and Cultural History</w:t>
      </w:r>
    </w:p>
    <w:p w:rsidR="005967E9" w:rsidRPr="005423BC" w:rsidRDefault="005423BC" w:rsidP="005423BC">
      <w:pPr>
        <w:ind w:left="1440"/>
        <w:rPr>
          <w:sz w:val="24"/>
          <w:szCs w:val="24"/>
        </w:rPr>
      </w:pPr>
      <w:r>
        <w:rPr>
          <w:sz w:val="24"/>
          <w:szCs w:val="24"/>
        </w:rPr>
        <w:t xml:space="preserve">READINGS: </w:t>
      </w:r>
      <w:proofErr w:type="spellStart"/>
      <w:r w:rsidR="00AB000E">
        <w:rPr>
          <w:sz w:val="24"/>
          <w:szCs w:val="24"/>
        </w:rPr>
        <w:t>Lipartito</w:t>
      </w:r>
      <w:proofErr w:type="spellEnd"/>
      <w:r>
        <w:rPr>
          <w:sz w:val="24"/>
          <w:szCs w:val="24"/>
        </w:rPr>
        <w:t xml:space="preserve">, “Reassembling the Economic: New Departures in Historical Materialism,” </w:t>
      </w:r>
      <w:r>
        <w:rPr>
          <w:i/>
          <w:sz w:val="24"/>
          <w:szCs w:val="24"/>
        </w:rPr>
        <w:t>American Historical Review</w:t>
      </w:r>
      <w:r>
        <w:rPr>
          <w:sz w:val="24"/>
          <w:szCs w:val="24"/>
        </w:rPr>
        <w:t xml:space="preserve"> 121 (Feb. 2016): 101-139.  Bruce </w:t>
      </w:r>
      <w:r w:rsidR="00AB000E">
        <w:rPr>
          <w:sz w:val="24"/>
          <w:szCs w:val="24"/>
        </w:rPr>
        <w:t>Robbins</w:t>
      </w:r>
      <w:r>
        <w:rPr>
          <w:sz w:val="24"/>
          <w:szCs w:val="24"/>
        </w:rPr>
        <w:t xml:space="preserve">, “Commodity Histories,” </w:t>
      </w:r>
      <w:r>
        <w:rPr>
          <w:i/>
          <w:sz w:val="24"/>
          <w:szCs w:val="24"/>
        </w:rPr>
        <w:t>PMLA</w:t>
      </w:r>
      <w:r>
        <w:rPr>
          <w:sz w:val="24"/>
          <w:szCs w:val="24"/>
        </w:rPr>
        <w:t xml:space="preserve"> 120 (Mar. 2005): 454-463.</w:t>
      </w:r>
    </w:p>
    <w:p w:rsidR="001A4BBB" w:rsidRDefault="005967E9">
      <w:pPr>
        <w:rPr>
          <w:sz w:val="24"/>
          <w:szCs w:val="24"/>
        </w:rPr>
      </w:pPr>
      <w:r>
        <w:rPr>
          <w:sz w:val="24"/>
          <w:szCs w:val="24"/>
        </w:rPr>
        <w:t>Jan. 30</w:t>
      </w:r>
      <w:r>
        <w:rPr>
          <w:sz w:val="24"/>
          <w:szCs w:val="24"/>
        </w:rPr>
        <w:tab/>
      </w:r>
      <w:r>
        <w:rPr>
          <w:sz w:val="24"/>
          <w:szCs w:val="24"/>
        </w:rPr>
        <w:tab/>
      </w:r>
      <w:r w:rsidR="009D294D">
        <w:rPr>
          <w:sz w:val="24"/>
          <w:szCs w:val="24"/>
          <w:u w:val="single"/>
        </w:rPr>
        <w:t>What Is a Commodity</w:t>
      </w:r>
      <w:r w:rsidR="001A4BBB" w:rsidRPr="009D294D">
        <w:rPr>
          <w:sz w:val="24"/>
          <w:szCs w:val="24"/>
          <w:u w:val="single"/>
        </w:rPr>
        <w:t>?</w:t>
      </w:r>
      <w:r w:rsidR="009D294D">
        <w:rPr>
          <w:sz w:val="24"/>
          <w:szCs w:val="24"/>
          <w:u w:val="single"/>
        </w:rPr>
        <w:t xml:space="preserve"> A Brief History of a Concept</w:t>
      </w:r>
    </w:p>
    <w:p w:rsidR="005967E9" w:rsidRDefault="001A4BBB" w:rsidP="009D294D">
      <w:pPr>
        <w:ind w:left="1440"/>
        <w:rPr>
          <w:sz w:val="24"/>
          <w:szCs w:val="24"/>
        </w:rPr>
      </w:pPr>
      <w:r>
        <w:rPr>
          <w:sz w:val="24"/>
          <w:szCs w:val="24"/>
        </w:rPr>
        <w:t xml:space="preserve">READINGS: Adam </w:t>
      </w:r>
      <w:r w:rsidR="00AB000E">
        <w:rPr>
          <w:sz w:val="24"/>
          <w:szCs w:val="24"/>
        </w:rPr>
        <w:t>Smith,</w:t>
      </w:r>
      <w:r>
        <w:rPr>
          <w:sz w:val="24"/>
          <w:szCs w:val="24"/>
        </w:rPr>
        <w:t xml:space="preserve"> </w:t>
      </w:r>
      <w:r>
        <w:rPr>
          <w:i/>
          <w:sz w:val="24"/>
          <w:szCs w:val="24"/>
        </w:rPr>
        <w:t>An Inquiry Into the Nature and Causes of the Wealth of Nations</w:t>
      </w:r>
      <w:r>
        <w:rPr>
          <w:sz w:val="24"/>
          <w:szCs w:val="24"/>
        </w:rPr>
        <w:t xml:space="preserve"> (1776), </w:t>
      </w:r>
      <w:r w:rsidR="00AB000E">
        <w:rPr>
          <w:sz w:val="24"/>
          <w:szCs w:val="24"/>
        </w:rPr>
        <w:t>chapter</w:t>
      </w:r>
      <w:r w:rsidR="005423BC">
        <w:rPr>
          <w:sz w:val="24"/>
          <w:szCs w:val="24"/>
        </w:rPr>
        <w:t>s</w:t>
      </w:r>
      <w:r w:rsidR="00AB000E">
        <w:rPr>
          <w:sz w:val="24"/>
          <w:szCs w:val="24"/>
        </w:rPr>
        <w:t xml:space="preserve"> 4-9</w:t>
      </w:r>
      <w:r w:rsidR="009D294D">
        <w:rPr>
          <w:sz w:val="24"/>
          <w:szCs w:val="24"/>
        </w:rPr>
        <w:t>, on money, labo</w:t>
      </w:r>
      <w:r>
        <w:rPr>
          <w:sz w:val="24"/>
          <w:szCs w:val="24"/>
        </w:rPr>
        <w:t>r, markets, and commodities</w:t>
      </w:r>
      <w:r w:rsidR="00AB000E">
        <w:rPr>
          <w:sz w:val="24"/>
          <w:szCs w:val="24"/>
        </w:rPr>
        <w:t>;</w:t>
      </w:r>
      <w:r>
        <w:rPr>
          <w:sz w:val="24"/>
          <w:szCs w:val="24"/>
        </w:rPr>
        <w:t xml:space="preserve"> </w:t>
      </w:r>
      <w:r w:rsidR="009D294D">
        <w:rPr>
          <w:sz w:val="24"/>
          <w:szCs w:val="24"/>
        </w:rPr>
        <w:t xml:space="preserve">Marx, </w:t>
      </w:r>
      <w:r w:rsidR="009D294D" w:rsidRPr="001A4BBB">
        <w:rPr>
          <w:i/>
          <w:sz w:val="24"/>
          <w:szCs w:val="24"/>
        </w:rPr>
        <w:t>Capital</w:t>
      </w:r>
      <w:r w:rsidR="009D294D">
        <w:rPr>
          <w:sz w:val="24"/>
          <w:szCs w:val="24"/>
        </w:rPr>
        <w:t xml:space="preserve"> (1867), vol. 1, part 1, chapter 1, “The Commodity.” </w:t>
      </w:r>
      <w:r>
        <w:rPr>
          <w:sz w:val="24"/>
          <w:szCs w:val="24"/>
        </w:rPr>
        <w:t>Karl</w:t>
      </w:r>
      <w:r w:rsidR="00AB000E">
        <w:rPr>
          <w:sz w:val="24"/>
          <w:szCs w:val="24"/>
        </w:rPr>
        <w:t xml:space="preserve"> Polanyi,</w:t>
      </w:r>
      <w:r>
        <w:rPr>
          <w:sz w:val="24"/>
          <w:szCs w:val="24"/>
        </w:rPr>
        <w:t xml:space="preserve"> </w:t>
      </w:r>
      <w:r>
        <w:rPr>
          <w:i/>
          <w:sz w:val="24"/>
          <w:szCs w:val="24"/>
        </w:rPr>
        <w:t>The Great Transformation: The Political and Economic Origins of Our Time</w:t>
      </w:r>
      <w:r>
        <w:rPr>
          <w:sz w:val="24"/>
          <w:szCs w:val="24"/>
        </w:rPr>
        <w:t>, (1944),</w:t>
      </w:r>
      <w:r w:rsidR="00AB000E">
        <w:rPr>
          <w:sz w:val="24"/>
          <w:szCs w:val="24"/>
        </w:rPr>
        <w:t xml:space="preserve"> chapter 6</w:t>
      </w:r>
      <w:r>
        <w:rPr>
          <w:sz w:val="24"/>
          <w:szCs w:val="24"/>
        </w:rPr>
        <w:t xml:space="preserve">, “The Self-Regulating Market and the Fictitious Commodities: </w:t>
      </w:r>
      <w:r w:rsidR="009D294D">
        <w:rPr>
          <w:sz w:val="24"/>
          <w:szCs w:val="24"/>
        </w:rPr>
        <w:t>Labor, Land, and Money.”</w:t>
      </w:r>
    </w:p>
    <w:p w:rsidR="009D294D" w:rsidRDefault="005967E9">
      <w:pPr>
        <w:rPr>
          <w:sz w:val="24"/>
          <w:szCs w:val="24"/>
        </w:rPr>
      </w:pPr>
      <w:r>
        <w:rPr>
          <w:sz w:val="24"/>
          <w:szCs w:val="24"/>
        </w:rPr>
        <w:t>Feb. 6</w:t>
      </w:r>
      <w:r>
        <w:rPr>
          <w:sz w:val="24"/>
          <w:szCs w:val="24"/>
        </w:rPr>
        <w:tab/>
      </w:r>
      <w:r>
        <w:rPr>
          <w:sz w:val="24"/>
          <w:szCs w:val="24"/>
        </w:rPr>
        <w:tab/>
      </w:r>
      <w:r w:rsidR="009D294D" w:rsidRPr="00B662BC">
        <w:rPr>
          <w:sz w:val="24"/>
          <w:szCs w:val="24"/>
          <w:u w:val="single"/>
        </w:rPr>
        <w:t>The Social and Cultural Life of Things</w:t>
      </w:r>
    </w:p>
    <w:p w:rsidR="005967E9" w:rsidRPr="00B17E9C" w:rsidRDefault="009D294D" w:rsidP="00B17E9C">
      <w:pPr>
        <w:ind w:left="1440"/>
        <w:rPr>
          <w:sz w:val="24"/>
          <w:szCs w:val="24"/>
        </w:rPr>
      </w:pPr>
      <w:r>
        <w:rPr>
          <w:sz w:val="24"/>
          <w:szCs w:val="24"/>
        </w:rPr>
        <w:t xml:space="preserve">READINGS: Arjun </w:t>
      </w:r>
      <w:proofErr w:type="spellStart"/>
      <w:r w:rsidR="00AB000E">
        <w:rPr>
          <w:sz w:val="24"/>
          <w:szCs w:val="24"/>
        </w:rPr>
        <w:t>Appadurai</w:t>
      </w:r>
      <w:proofErr w:type="spellEnd"/>
      <w:r>
        <w:rPr>
          <w:sz w:val="24"/>
          <w:szCs w:val="24"/>
        </w:rPr>
        <w:t>, “Introduction: Commodities and the Politics of Value,”</w:t>
      </w:r>
      <w:r w:rsidR="00AB000E">
        <w:rPr>
          <w:sz w:val="24"/>
          <w:szCs w:val="24"/>
        </w:rPr>
        <w:t xml:space="preserve"> and </w:t>
      </w:r>
      <w:r w:rsidR="00B17E9C">
        <w:rPr>
          <w:sz w:val="24"/>
          <w:szCs w:val="24"/>
        </w:rPr>
        <w:t xml:space="preserve">Igor </w:t>
      </w:r>
      <w:proofErr w:type="spellStart"/>
      <w:r w:rsidR="00AB000E">
        <w:rPr>
          <w:sz w:val="24"/>
          <w:szCs w:val="24"/>
        </w:rPr>
        <w:t>Kopytoff</w:t>
      </w:r>
      <w:proofErr w:type="spellEnd"/>
      <w:r w:rsidR="00B17E9C">
        <w:rPr>
          <w:sz w:val="24"/>
          <w:szCs w:val="24"/>
        </w:rPr>
        <w:t xml:space="preserve">, “The Cultural Biography of Things: Commoditization As Process,” in </w:t>
      </w:r>
      <w:proofErr w:type="spellStart"/>
      <w:r w:rsidR="00B17E9C">
        <w:rPr>
          <w:sz w:val="24"/>
          <w:szCs w:val="24"/>
        </w:rPr>
        <w:t>Appadurai</w:t>
      </w:r>
      <w:proofErr w:type="spellEnd"/>
      <w:r w:rsidR="00B17E9C">
        <w:rPr>
          <w:sz w:val="24"/>
          <w:szCs w:val="24"/>
        </w:rPr>
        <w:t xml:space="preserve">, ed., </w:t>
      </w:r>
      <w:r w:rsidR="00B17E9C">
        <w:rPr>
          <w:i/>
          <w:sz w:val="24"/>
          <w:szCs w:val="24"/>
        </w:rPr>
        <w:t xml:space="preserve">The Social Life of Things: Commodities in Cultural </w:t>
      </w:r>
      <w:r w:rsidR="00B17E9C" w:rsidRPr="00B17E9C">
        <w:rPr>
          <w:i/>
          <w:sz w:val="24"/>
          <w:szCs w:val="24"/>
        </w:rPr>
        <w:t>P</w:t>
      </w:r>
      <w:r w:rsidR="00B17E9C">
        <w:rPr>
          <w:i/>
          <w:sz w:val="24"/>
          <w:szCs w:val="24"/>
        </w:rPr>
        <w:t>erspective</w:t>
      </w:r>
      <w:r w:rsidR="00B17E9C">
        <w:rPr>
          <w:sz w:val="24"/>
          <w:szCs w:val="24"/>
        </w:rPr>
        <w:t xml:space="preserve"> (1986).</w:t>
      </w:r>
    </w:p>
    <w:p w:rsidR="00B17E9C" w:rsidRDefault="005967E9">
      <w:pPr>
        <w:rPr>
          <w:sz w:val="24"/>
          <w:szCs w:val="24"/>
        </w:rPr>
      </w:pPr>
      <w:r>
        <w:rPr>
          <w:sz w:val="24"/>
          <w:szCs w:val="24"/>
        </w:rPr>
        <w:t>Feb. 13</w:t>
      </w:r>
      <w:r>
        <w:rPr>
          <w:sz w:val="24"/>
          <w:szCs w:val="24"/>
        </w:rPr>
        <w:tab/>
      </w:r>
      <w:r>
        <w:rPr>
          <w:sz w:val="24"/>
          <w:szCs w:val="24"/>
        </w:rPr>
        <w:tab/>
      </w:r>
      <w:r w:rsidR="00B17E9C" w:rsidRPr="00B662BC">
        <w:rPr>
          <w:sz w:val="24"/>
          <w:szCs w:val="24"/>
          <w:u w:val="single"/>
        </w:rPr>
        <w:t>Do (Living) Objects Shape Human History?</w:t>
      </w:r>
    </w:p>
    <w:p w:rsidR="005967E9" w:rsidRPr="00B17E9C" w:rsidRDefault="00B17E9C">
      <w:pPr>
        <w:rPr>
          <w:sz w:val="24"/>
          <w:szCs w:val="24"/>
        </w:rPr>
      </w:pPr>
      <w:r>
        <w:rPr>
          <w:sz w:val="24"/>
          <w:szCs w:val="24"/>
        </w:rPr>
        <w:tab/>
      </w:r>
      <w:r>
        <w:rPr>
          <w:sz w:val="24"/>
          <w:szCs w:val="24"/>
        </w:rPr>
        <w:tab/>
        <w:t xml:space="preserve">READINGS: Michael </w:t>
      </w:r>
      <w:proofErr w:type="spellStart"/>
      <w:r w:rsidR="005967E9">
        <w:rPr>
          <w:sz w:val="24"/>
          <w:szCs w:val="24"/>
        </w:rPr>
        <w:t>Pollan</w:t>
      </w:r>
      <w:proofErr w:type="spellEnd"/>
      <w:r w:rsidR="005967E9">
        <w:rPr>
          <w:sz w:val="24"/>
          <w:szCs w:val="24"/>
        </w:rPr>
        <w:t xml:space="preserve">, </w:t>
      </w:r>
      <w:r>
        <w:rPr>
          <w:i/>
          <w:sz w:val="24"/>
          <w:szCs w:val="24"/>
        </w:rPr>
        <w:t xml:space="preserve">The </w:t>
      </w:r>
      <w:r w:rsidR="005967E9">
        <w:rPr>
          <w:i/>
          <w:sz w:val="24"/>
          <w:szCs w:val="24"/>
        </w:rPr>
        <w:t>Botany of Desire</w:t>
      </w:r>
      <w:r>
        <w:rPr>
          <w:sz w:val="24"/>
          <w:szCs w:val="24"/>
        </w:rPr>
        <w:t xml:space="preserve"> (2001).</w:t>
      </w:r>
    </w:p>
    <w:p w:rsidR="005967E9" w:rsidRDefault="005967E9" w:rsidP="005423BC">
      <w:pPr>
        <w:ind w:left="1440" w:hanging="1440"/>
        <w:rPr>
          <w:sz w:val="24"/>
          <w:szCs w:val="24"/>
        </w:rPr>
      </w:pPr>
      <w:r>
        <w:rPr>
          <w:sz w:val="24"/>
          <w:szCs w:val="24"/>
        </w:rPr>
        <w:t xml:space="preserve">Feb. 20 </w:t>
      </w:r>
      <w:r>
        <w:rPr>
          <w:sz w:val="24"/>
          <w:szCs w:val="24"/>
        </w:rPr>
        <w:tab/>
        <w:t xml:space="preserve">No class. </w:t>
      </w:r>
      <w:r w:rsidR="005423BC">
        <w:rPr>
          <w:sz w:val="24"/>
          <w:szCs w:val="24"/>
        </w:rPr>
        <w:t>Students are encouraged to</w:t>
      </w:r>
      <w:r>
        <w:rPr>
          <w:sz w:val="24"/>
          <w:szCs w:val="24"/>
        </w:rPr>
        <w:t xml:space="preserve"> attend the lecture by Michael </w:t>
      </w:r>
      <w:proofErr w:type="spellStart"/>
      <w:r>
        <w:rPr>
          <w:sz w:val="24"/>
          <w:szCs w:val="24"/>
        </w:rPr>
        <w:t>Pollan</w:t>
      </w:r>
      <w:proofErr w:type="spellEnd"/>
      <w:r>
        <w:rPr>
          <w:sz w:val="24"/>
          <w:szCs w:val="24"/>
        </w:rPr>
        <w:t>, Texas Hall, 7:30.</w:t>
      </w:r>
    </w:p>
    <w:p w:rsidR="00B17E9C" w:rsidRDefault="005967E9">
      <w:pPr>
        <w:rPr>
          <w:sz w:val="24"/>
          <w:szCs w:val="24"/>
        </w:rPr>
      </w:pPr>
      <w:r>
        <w:rPr>
          <w:sz w:val="24"/>
          <w:szCs w:val="24"/>
        </w:rPr>
        <w:t>Feb. 27</w:t>
      </w:r>
      <w:r w:rsidR="00AB000E" w:rsidRPr="00AB000E">
        <w:rPr>
          <w:sz w:val="24"/>
          <w:szCs w:val="24"/>
        </w:rPr>
        <w:t xml:space="preserve"> </w:t>
      </w:r>
      <w:r w:rsidR="00AB000E">
        <w:rPr>
          <w:sz w:val="24"/>
          <w:szCs w:val="24"/>
        </w:rPr>
        <w:tab/>
      </w:r>
      <w:r w:rsidR="00B17E9C" w:rsidRPr="00B662BC">
        <w:rPr>
          <w:sz w:val="24"/>
          <w:szCs w:val="24"/>
          <w:u w:val="single"/>
        </w:rPr>
        <w:t>Do (Non-Living) Objects Shape Human History?</w:t>
      </w:r>
    </w:p>
    <w:p w:rsidR="005967E9" w:rsidRPr="00B17E9C" w:rsidRDefault="00B17E9C" w:rsidP="00B17E9C">
      <w:pPr>
        <w:ind w:left="720" w:firstLine="720"/>
        <w:rPr>
          <w:sz w:val="24"/>
          <w:szCs w:val="24"/>
        </w:rPr>
      </w:pPr>
      <w:r>
        <w:rPr>
          <w:sz w:val="24"/>
          <w:szCs w:val="24"/>
        </w:rPr>
        <w:t xml:space="preserve">READINGS: Bruno </w:t>
      </w:r>
      <w:proofErr w:type="spellStart"/>
      <w:r w:rsidR="00AB000E">
        <w:rPr>
          <w:sz w:val="24"/>
          <w:szCs w:val="24"/>
        </w:rPr>
        <w:t>Latour</w:t>
      </w:r>
      <w:proofErr w:type="spellEnd"/>
      <w:r w:rsidR="00AB000E">
        <w:rPr>
          <w:sz w:val="24"/>
          <w:szCs w:val="24"/>
        </w:rPr>
        <w:t xml:space="preserve">, </w:t>
      </w:r>
      <w:r w:rsidR="00AB000E" w:rsidRPr="005967E9">
        <w:rPr>
          <w:i/>
          <w:sz w:val="24"/>
          <w:szCs w:val="24"/>
        </w:rPr>
        <w:t>Reassembling the Social</w:t>
      </w:r>
      <w:r>
        <w:rPr>
          <w:sz w:val="24"/>
          <w:szCs w:val="24"/>
        </w:rPr>
        <w:t xml:space="preserve"> (2005).</w:t>
      </w:r>
    </w:p>
    <w:p w:rsidR="005967E9" w:rsidRDefault="005967E9">
      <w:pPr>
        <w:rPr>
          <w:sz w:val="24"/>
          <w:szCs w:val="24"/>
        </w:rPr>
      </w:pPr>
      <w:r>
        <w:rPr>
          <w:sz w:val="24"/>
          <w:szCs w:val="24"/>
        </w:rPr>
        <w:t>Mar. 6</w:t>
      </w:r>
      <w:r w:rsidR="00F61A7C">
        <w:rPr>
          <w:sz w:val="24"/>
          <w:szCs w:val="24"/>
        </w:rPr>
        <w:tab/>
      </w:r>
      <w:r w:rsidR="00F61A7C">
        <w:rPr>
          <w:sz w:val="24"/>
          <w:szCs w:val="24"/>
        </w:rPr>
        <w:tab/>
      </w:r>
      <w:proofErr w:type="spellStart"/>
      <w:r w:rsidR="00F61A7C">
        <w:rPr>
          <w:sz w:val="24"/>
          <w:szCs w:val="24"/>
        </w:rPr>
        <w:t>Latour</w:t>
      </w:r>
      <w:proofErr w:type="spellEnd"/>
      <w:r w:rsidR="00F61A7C">
        <w:rPr>
          <w:sz w:val="24"/>
          <w:szCs w:val="24"/>
        </w:rPr>
        <w:t>, continued</w:t>
      </w:r>
    </w:p>
    <w:p w:rsidR="005967E9" w:rsidRDefault="005967E9">
      <w:pPr>
        <w:rPr>
          <w:sz w:val="24"/>
          <w:szCs w:val="24"/>
        </w:rPr>
      </w:pPr>
      <w:r>
        <w:rPr>
          <w:sz w:val="24"/>
          <w:szCs w:val="24"/>
        </w:rPr>
        <w:t xml:space="preserve">Mar. 13 </w:t>
      </w:r>
      <w:r w:rsidR="00FD609F">
        <w:rPr>
          <w:sz w:val="24"/>
          <w:szCs w:val="24"/>
        </w:rPr>
        <w:tab/>
      </w:r>
      <w:r>
        <w:rPr>
          <w:sz w:val="24"/>
          <w:szCs w:val="24"/>
        </w:rPr>
        <w:t>Spring Break</w:t>
      </w:r>
    </w:p>
    <w:p w:rsidR="00B17E9C" w:rsidRDefault="005967E9" w:rsidP="00FD609F">
      <w:pPr>
        <w:ind w:left="1440" w:hanging="1440"/>
        <w:rPr>
          <w:sz w:val="24"/>
          <w:szCs w:val="24"/>
        </w:rPr>
      </w:pPr>
      <w:r>
        <w:rPr>
          <w:sz w:val="24"/>
          <w:szCs w:val="24"/>
        </w:rPr>
        <w:t>Mar. 20</w:t>
      </w:r>
      <w:r w:rsidR="00FD609F">
        <w:rPr>
          <w:sz w:val="24"/>
          <w:szCs w:val="24"/>
        </w:rPr>
        <w:tab/>
      </w:r>
      <w:r w:rsidR="00B17E9C" w:rsidRPr="00B662BC">
        <w:rPr>
          <w:sz w:val="24"/>
          <w:szCs w:val="24"/>
          <w:u w:val="single"/>
        </w:rPr>
        <w:t>The Commodification of Nature</w:t>
      </w:r>
    </w:p>
    <w:p w:rsidR="005967E9" w:rsidRDefault="00B17E9C" w:rsidP="00B17E9C">
      <w:pPr>
        <w:ind w:left="1440"/>
        <w:rPr>
          <w:sz w:val="24"/>
          <w:szCs w:val="24"/>
        </w:rPr>
      </w:pPr>
      <w:r>
        <w:rPr>
          <w:sz w:val="24"/>
          <w:szCs w:val="24"/>
        </w:rPr>
        <w:t>READINGS:</w:t>
      </w:r>
      <w:r w:rsidR="00083E49">
        <w:rPr>
          <w:sz w:val="24"/>
          <w:szCs w:val="24"/>
        </w:rPr>
        <w:t xml:space="preserve"> </w:t>
      </w:r>
      <w:proofErr w:type="spellStart"/>
      <w:r w:rsidR="00083E49">
        <w:rPr>
          <w:sz w:val="24"/>
          <w:szCs w:val="24"/>
        </w:rPr>
        <w:t>Shapin</w:t>
      </w:r>
      <w:proofErr w:type="spellEnd"/>
      <w:r w:rsidR="00083E49">
        <w:rPr>
          <w:sz w:val="24"/>
          <w:szCs w:val="24"/>
        </w:rPr>
        <w:t xml:space="preserve"> and Schaffer, </w:t>
      </w:r>
      <w:r w:rsidR="00083E49">
        <w:rPr>
          <w:i/>
          <w:sz w:val="24"/>
          <w:szCs w:val="24"/>
        </w:rPr>
        <w:t>Leviathan and the Air-Pump: Hobbes, Boyle, and the Experimental Life</w:t>
      </w:r>
      <w:r>
        <w:rPr>
          <w:sz w:val="24"/>
          <w:szCs w:val="24"/>
        </w:rPr>
        <w:t xml:space="preserve"> </w:t>
      </w:r>
      <w:r w:rsidR="00083E49">
        <w:rPr>
          <w:sz w:val="24"/>
          <w:szCs w:val="24"/>
        </w:rPr>
        <w:t xml:space="preserve">(1985), chapters 1 and 2. </w:t>
      </w:r>
      <w:r w:rsidR="00FD609F">
        <w:rPr>
          <w:sz w:val="24"/>
          <w:szCs w:val="24"/>
        </w:rPr>
        <w:t xml:space="preserve">James C. Scott, </w:t>
      </w:r>
      <w:r w:rsidR="00083E49">
        <w:rPr>
          <w:i/>
          <w:sz w:val="24"/>
          <w:szCs w:val="24"/>
        </w:rPr>
        <w:t>Seeing Like a State:</w:t>
      </w:r>
      <w:r w:rsidR="00792BBC">
        <w:rPr>
          <w:i/>
          <w:sz w:val="24"/>
          <w:szCs w:val="24"/>
        </w:rPr>
        <w:t xml:space="preserve"> How Certain Schemes to Improve the Human Condition Have Failed</w:t>
      </w:r>
      <w:r w:rsidR="00792BBC">
        <w:rPr>
          <w:sz w:val="24"/>
          <w:szCs w:val="24"/>
        </w:rPr>
        <w:t xml:space="preserve"> (1998), Introduction and Chapter 1. Scott </w:t>
      </w:r>
      <w:proofErr w:type="spellStart"/>
      <w:r w:rsidR="00FD609F">
        <w:rPr>
          <w:sz w:val="24"/>
          <w:szCs w:val="24"/>
        </w:rPr>
        <w:t>Prudham</w:t>
      </w:r>
      <w:proofErr w:type="spellEnd"/>
      <w:r w:rsidR="00FD609F">
        <w:rPr>
          <w:sz w:val="24"/>
          <w:szCs w:val="24"/>
        </w:rPr>
        <w:t xml:space="preserve">, </w:t>
      </w:r>
      <w:r w:rsidR="00792BBC">
        <w:rPr>
          <w:sz w:val="24"/>
          <w:szCs w:val="24"/>
        </w:rPr>
        <w:t xml:space="preserve">“Commodification,” pp. 123-142, in </w:t>
      </w:r>
      <w:r w:rsidR="00792BBC">
        <w:rPr>
          <w:rStyle w:val="st"/>
        </w:rPr>
        <w:lastRenderedPageBreak/>
        <w:t xml:space="preserve">N. </w:t>
      </w:r>
      <w:proofErr w:type="spellStart"/>
      <w:r w:rsidR="00792BBC">
        <w:rPr>
          <w:rStyle w:val="st"/>
        </w:rPr>
        <w:t>Castree</w:t>
      </w:r>
      <w:proofErr w:type="spellEnd"/>
      <w:r w:rsidR="00792BBC">
        <w:rPr>
          <w:rStyle w:val="st"/>
        </w:rPr>
        <w:t xml:space="preserve">, D. </w:t>
      </w:r>
      <w:proofErr w:type="spellStart"/>
      <w:r w:rsidR="00792BBC">
        <w:rPr>
          <w:rStyle w:val="st"/>
        </w:rPr>
        <w:t>Demeritt</w:t>
      </w:r>
      <w:proofErr w:type="spellEnd"/>
      <w:r w:rsidR="00792BBC">
        <w:rPr>
          <w:rStyle w:val="st"/>
        </w:rPr>
        <w:t xml:space="preserve">, D. </w:t>
      </w:r>
      <w:proofErr w:type="spellStart"/>
      <w:r w:rsidR="00792BBC">
        <w:rPr>
          <w:rStyle w:val="st"/>
        </w:rPr>
        <w:t>Liverman</w:t>
      </w:r>
      <w:proofErr w:type="spellEnd"/>
      <w:r w:rsidR="00792BBC">
        <w:rPr>
          <w:rStyle w:val="st"/>
        </w:rPr>
        <w:t xml:space="preserve">, and Bruce </w:t>
      </w:r>
      <w:proofErr w:type="spellStart"/>
      <w:r w:rsidR="00792BBC">
        <w:rPr>
          <w:rStyle w:val="st"/>
        </w:rPr>
        <w:t>Rhoads</w:t>
      </w:r>
      <w:r w:rsidR="00FD609F">
        <w:rPr>
          <w:sz w:val="24"/>
          <w:szCs w:val="24"/>
        </w:rPr>
        <w:t>on</w:t>
      </w:r>
      <w:proofErr w:type="spellEnd"/>
      <w:r w:rsidR="00792BBC">
        <w:rPr>
          <w:sz w:val="24"/>
          <w:szCs w:val="24"/>
        </w:rPr>
        <w:t xml:space="preserve">, eds., </w:t>
      </w:r>
      <w:r w:rsidR="00792BBC">
        <w:rPr>
          <w:i/>
          <w:sz w:val="24"/>
          <w:szCs w:val="24"/>
        </w:rPr>
        <w:t>A Companion to Environmental Geography</w:t>
      </w:r>
      <w:r w:rsidR="00792BBC">
        <w:rPr>
          <w:sz w:val="24"/>
          <w:szCs w:val="24"/>
        </w:rPr>
        <w:t xml:space="preserve"> (2009).</w:t>
      </w:r>
      <w:r w:rsidR="00FD609F">
        <w:rPr>
          <w:sz w:val="24"/>
          <w:szCs w:val="24"/>
        </w:rPr>
        <w:t xml:space="preserve"> </w:t>
      </w:r>
    </w:p>
    <w:p w:rsidR="00741E2B" w:rsidRDefault="005967E9" w:rsidP="00FD609F">
      <w:pPr>
        <w:rPr>
          <w:sz w:val="24"/>
          <w:szCs w:val="24"/>
        </w:rPr>
      </w:pPr>
      <w:r>
        <w:rPr>
          <w:sz w:val="24"/>
          <w:szCs w:val="24"/>
        </w:rPr>
        <w:t>Mar. 27</w:t>
      </w:r>
      <w:r w:rsidR="00FD609F">
        <w:rPr>
          <w:sz w:val="24"/>
          <w:szCs w:val="24"/>
        </w:rPr>
        <w:tab/>
      </w:r>
      <w:r w:rsidR="00741E2B" w:rsidRPr="00B662BC">
        <w:rPr>
          <w:sz w:val="24"/>
          <w:szCs w:val="24"/>
          <w:u w:val="single"/>
        </w:rPr>
        <w:t>Commodities and the Intersections of Human and Natural Worlds</w:t>
      </w:r>
    </w:p>
    <w:p w:rsidR="00FD609F" w:rsidRPr="00741E2B" w:rsidRDefault="00741E2B" w:rsidP="00741E2B">
      <w:pPr>
        <w:ind w:left="1440"/>
        <w:rPr>
          <w:sz w:val="24"/>
          <w:szCs w:val="24"/>
        </w:rPr>
      </w:pPr>
      <w:r>
        <w:rPr>
          <w:sz w:val="24"/>
          <w:szCs w:val="24"/>
        </w:rPr>
        <w:t xml:space="preserve">READING: Jennifer L. </w:t>
      </w:r>
      <w:r w:rsidR="00FD609F">
        <w:rPr>
          <w:sz w:val="24"/>
          <w:szCs w:val="24"/>
        </w:rPr>
        <w:t xml:space="preserve">Anderson, </w:t>
      </w:r>
      <w:r w:rsidR="00FD609F" w:rsidRPr="00741E2B">
        <w:rPr>
          <w:i/>
          <w:sz w:val="24"/>
          <w:szCs w:val="24"/>
        </w:rPr>
        <w:t>Mahogany</w:t>
      </w:r>
      <w:r>
        <w:rPr>
          <w:i/>
          <w:sz w:val="24"/>
          <w:szCs w:val="24"/>
        </w:rPr>
        <w:t>: The Costs of Luxury in Early America</w:t>
      </w:r>
      <w:r>
        <w:rPr>
          <w:sz w:val="24"/>
          <w:szCs w:val="24"/>
        </w:rPr>
        <w:t xml:space="preserve"> (2012), Chapters 1-4.</w:t>
      </w:r>
    </w:p>
    <w:p w:rsidR="00741E2B" w:rsidRDefault="005967E9">
      <w:pPr>
        <w:rPr>
          <w:sz w:val="24"/>
          <w:szCs w:val="24"/>
        </w:rPr>
      </w:pPr>
      <w:r>
        <w:rPr>
          <w:sz w:val="24"/>
          <w:szCs w:val="24"/>
        </w:rPr>
        <w:t>Apr. 3</w:t>
      </w:r>
      <w:r w:rsidR="00741E2B">
        <w:rPr>
          <w:sz w:val="24"/>
          <w:szCs w:val="24"/>
        </w:rPr>
        <w:tab/>
      </w:r>
      <w:r w:rsidR="00741E2B">
        <w:rPr>
          <w:sz w:val="24"/>
          <w:szCs w:val="24"/>
        </w:rPr>
        <w:tab/>
      </w:r>
      <w:r w:rsidR="00741E2B" w:rsidRPr="00B662BC">
        <w:rPr>
          <w:sz w:val="24"/>
          <w:szCs w:val="24"/>
          <w:u w:val="single"/>
        </w:rPr>
        <w:t>Commodities and Intersections</w:t>
      </w:r>
      <w:r w:rsidR="00741E2B">
        <w:rPr>
          <w:sz w:val="24"/>
          <w:szCs w:val="24"/>
        </w:rPr>
        <w:t>, continued</w:t>
      </w:r>
    </w:p>
    <w:p w:rsidR="005967E9" w:rsidRPr="00741E2B" w:rsidRDefault="00741E2B" w:rsidP="00741E2B">
      <w:pPr>
        <w:ind w:left="720" w:firstLine="720"/>
        <w:rPr>
          <w:sz w:val="24"/>
          <w:szCs w:val="24"/>
        </w:rPr>
      </w:pPr>
      <w:r>
        <w:rPr>
          <w:sz w:val="24"/>
          <w:szCs w:val="24"/>
        </w:rPr>
        <w:t xml:space="preserve">READING: Anderson, </w:t>
      </w:r>
      <w:r w:rsidRPr="00741E2B">
        <w:rPr>
          <w:i/>
          <w:sz w:val="24"/>
          <w:szCs w:val="24"/>
        </w:rPr>
        <w:t>Mahogany</w:t>
      </w:r>
      <w:r>
        <w:rPr>
          <w:sz w:val="24"/>
          <w:szCs w:val="24"/>
        </w:rPr>
        <w:t>, chapters 5-9.</w:t>
      </w:r>
    </w:p>
    <w:p w:rsidR="00741E2B" w:rsidRDefault="005967E9">
      <w:pPr>
        <w:rPr>
          <w:sz w:val="24"/>
          <w:szCs w:val="24"/>
        </w:rPr>
      </w:pPr>
      <w:r>
        <w:rPr>
          <w:sz w:val="24"/>
          <w:szCs w:val="24"/>
        </w:rPr>
        <w:t>Apr. 10</w:t>
      </w:r>
      <w:r w:rsidR="00FD609F">
        <w:rPr>
          <w:sz w:val="24"/>
          <w:szCs w:val="24"/>
        </w:rPr>
        <w:tab/>
      </w:r>
      <w:r w:rsidR="00FD609F">
        <w:rPr>
          <w:sz w:val="24"/>
          <w:szCs w:val="24"/>
        </w:rPr>
        <w:tab/>
      </w:r>
      <w:r w:rsidR="00E00D23" w:rsidRPr="00B662BC">
        <w:rPr>
          <w:sz w:val="24"/>
          <w:szCs w:val="24"/>
          <w:u w:val="single"/>
        </w:rPr>
        <w:t>Commodities: Biographies</w:t>
      </w:r>
      <w:r w:rsidR="00741E2B" w:rsidRPr="00B662BC">
        <w:rPr>
          <w:sz w:val="24"/>
          <w:szCs w:val="24"/>
          <w:u w:val="single"/>
        </w:rPr>
        <w:t xml:space="preserve"> and Met</w:t>
      </w:r>
      <w:r w:rsidR="00E00D23" w:rsidRPr="00B662BC">
        <w:rPr>
          <w:sz w:val="24"/>
          <w:szCs w:val="24"/>
          <w:u w:val="single"/>
        </w:rPr>
        <w:t xml:space="preserve">onymies </w:t>
      </w:r>
    </w:p>
    <w:p w:rsidR="005967E9" w:rsidRPr="00741E2B" w:rsidRDefault="00741E2B" w:rsidP="00741E2B">
      <w:pPr>
        <w:ind w:left="1440"/>
        <w:rPr>
          <w:sz w:val="24"/>
          <w:szCs w:val="24"/>
        </w:rPr>
      </w:pPr>
      <w:r>
        <w:rPr>
          <w:sz w:val="24"/>
          <w:szCs w:val="24"/>
        </w:rPr>
        <w:t xml:space="preserve">READING: Sidney W. </w:t>
      </w:r>
      <w:proofErr w:type="spellStart"/>
      <w:r w:rsidR="00FD609F">
        <w:rPr>
          <w:sz w:val="24"/>
          <w:szCs w:val="24"/>
        </w:rPr>
        <w:t>Mintz</w:t>
      </w:r>
      <w:proofErr w:type="spellEnd"/>
      <w:r>
        <w:rPr>
          <w:sz w:val="24"/>
          <w:szCs w:val="24"/>
        </w:rPr>
        <w:t xml:space="preserve">, </w:t>
      </w:r>
      <w:r>
        <w:rPr>
          <w:i/>
          <w:sz w:val="24"/>
          <w:szCs w:val="24"/>
        </w:rPr>
        <w:t>Sweetness and Power: The Place of Sugar in Modern History</w:t>
      </w:r>
    </w:p>
    <w:p w:rsidR="005967E9" w:rsidRDefault="005967E9">
      <w:pPr>
        <w:rPr>
          <w:sz w:val="24"/>
          <w:szCs w:val="24"/>
        </w:rPr>
      </w:pPr>
      <w:r>
        <w:rPr>
          <w:sz w:val="24"/>
          <w:szCs w:val="24"/>
        </w:rPr>
        <w:t>Apr. 17</w:t>
      </w:r>
      <w:r w:rsidR="00DC4C79">
        <w:rPr>
          <w:sz w:val="24"/>
          <w:szCs w:val="24"/>
        </w:rPr>
        <w:tab/>
      </w:r>
      <w:r w:rsidR="00DC4C79">
        <w:rPr>
          <w:sz w:val="24"/>
          <w:szCs w:val="24"/>
        </w:rPr>
        <w:tab/>
      </w:r>
      <w:r w:rsidR="00DC4C79" w:rsidRPr="00B662BC">
        <w:rPr>
          <w:sz w:val="24"/>
          <w:szCs w:val="24"/>
          <w:u w:val="single"/>
        </w:rPr>
        <w:t>Commodification of Human Bodies</w:t>
      </w:r>
    </w:p>
    <w:p w:rsidR="00DC4C79" w:rsidRPr="00DC4C79" w:rsidRDefault="00DC4C79" w:rsidP="00DC4C79">
      <w:pPr>
        <w:ind w:left="1440"/>
        <w:rPr>
          <w:sz w:val="24"/>
          <w:szCs w:val="24"/>
        </w:rPr>
      </w:pPr>
      <w:r>
        <w:rPr>
          <w:sz w:val="24"/>
          <w:szCs w:val="24"/>
        </w:rPr>
        <w:t xml:space="preserve">READINGS: Walter Johnson, “The Chattel Principle,” from </w:t>
      </w:r>
      <w:r>
        <w:rPr>
          <w:i/>
          <w:sz w:val="24"/>
          <w:szCs w:val="24"/>
        </w:rPr>
        <w:t>Soul By Soul: Life Inside the Antebellum Slave Market</w:t>
      </w:r>
      <w:r>
        <w:rPr>
          <w:sz w:val="24"/>
          <w:szCs w:val="24"/>
        </w:rPr>
        <w:t xml:space="preserve"> (1999). Amy </w:t>
      </w:r>
      <w:proofErr w:type="spellStart"/>
      <w:r>
        <w:rPr>
          <w:sz w:val="24"/>
          <w:szCs w:val="24"/>
        </w:rPr>
        <w:t>Dru</w:t>
      </w:r>
      <w:proofErr w:type="spellEnd"/>
      <w:r>
        <w:rPr>
          <w:sz w:val="24"/>
          <w:szCs w:val="24"/>
        </w:rPr>
        <w:t xml:space="preserve"> Stanley, “Wages, Sin, and Slavery: Some Thoughts on Free Will and Commodity Relations,” </w:t>
      </w:r>
      <w:r>
        <w:rPr>
          <w:i/>
          <w:sz w:val="24"/>
          <w:szCs w:val="24"/>
        </w:rPr>
        <w:t>Journal of the Early Republic</w:t>
      </w:r>
      <w:r>
        <w:rPr>
          <w:sz w:val="24"/>
          <w:szCs w:val="24"/>
        </w:rPr>
        <w:t xml:space="preserve"> 24 (Summer 2004): 279-288. Michael Ralph, “Commodity,” </w:t>
      </w:r>
      <w:r>
        <w:rPr>
          <w:i/>
          <w:sz w:val="24"/>
          <w:szCs w:val="24"/>
        </w:rPr>
        <w:t>Social Text</w:t>
      </w:r>
      <w:r>
        <w:rPr>
          <w:sz w:val="24"/>
          <w:szCs w:val="24"/>
        </w:rPr>
        <w:t xml:space="preserve"> 27 (Fall 2009): 78-84.</w:t>
      </w:r>
    </w:p>
    <w:p w:rsidR="00DC4C79" w:rsidRDefault="005967E9">
      <w:pPr>
        <w:rPr>
          <w:sz w:val="24"/>
          <w:szCs w:val="24"/>
        </w:rPr>
      </w:pPr>
      <w:r>
        <w:rPr>
          <w:sz w:val="24"/>
          <w:szCs w:val="24"/>
        </w:rPr>
        <w:t>Apr. 24</w:t>
      </w:r>
      <w:r w:rsidR="00FD609F">
        <w:rPr>
          <w:sz w:val="24"/>
          <w:szCs w:val="24"/>
        </w:rPr>
        <w:tab/>
      </w:r>
      <w:r w:rsidR="00FD609F">
        <w:rPr>
          <w:sz w:val="24"/>
          <w:szCs w:val="24"/>
        </w:rPr>
        <w:tab/>
      </w:r>
      <w:r w:rsidR="00F61A7C">
        <w:rPr>
          <w:sz w:val="24"/>
          <w:szCs w:val="24"/>
          <w:u w:val="single"/>
        </w:rPr>
        <w:t>Commodities between Nations</w:t>
      </w:r>
    </w:p>
    <w:p w:rsidR="005967E9" w:rsidRPr="00F61A7C" w:rsidRDefault="00F61A7C" w:rsidP="00F61A7C">
      <w:pPr>
        <w:ind w:left="1440"/>
        <w:rPr>
          <w:sz w:val="24"/>
          <w:szCs w:val="24"/>
        </w:rPr>
      </w:pPr>
      <w:r>
        <w:rPr>
          <w:sz w:val="24"/>
          <w:szCs w:val="24"/>
        </w:rPr>
        <w:t xml:space="preserve">READINGS: Rosenblatt, “Orientalism in American Popular Culture,” </w:t>
      </w:r>
      <w:r>
        <w:rPr>
          <w:i/>
          <w:sz w:val="24"/>
          <w:szCs w:val="24"/>
        </w:rPr>
        <w:t>Penn History Review</w:t>
      </w:r>
      <w:r>
        <w:rPr>
          <w:sz w:val="24"/>
          <w:szCs w:val="24"/>
        </w:rPr>
        <w:t xml:space="preserve"> 16 (Spring 2009): 51-63. Suzanna Reiss, “Resources for Freedom: American Drug Commodities in the Postwar World,” pp. 53-96, in Reiss, </w:t>
      </w:r>
      <w:r>
        <w:rPr>
          <w:i/>
          <w:sz w:val="24"/>
          <w:szCs w:val="24"/>
        </w:rPr>
        <w:t>We Sell Drugs: The Alchemy of U.S. Empire</w:t>
      </w:r>
      <w:r>
        <w:rPr>
          <w:sz w:val="24"/>
          <w:szCs w:val="24"/>
        </w:rPr>
        <w:t xml:space="preserve"> (2014).</w:t>
      </w:r>
    </w:p>
    <w:p w:rsidR="00DC4C79" w:rsidRDefault="005967E9" w:rsidP="00DC4C79">
      <w:pPr>
        <w:rPr>
          <w:sz w:val="24"/>
          <w:szCs w:val="24"/>
        </w:rPr>
      </w:pPr>
      <w:r>
        <w:rPr>
          <w:sz w:val="24"/>
          <w:szCs w:val="24"/>
        </w:rPr>
        <w:t>May 1</w:t>
      </w:r>
      <w:r w:rsidR="00DC4C79">
        <w:rPr>
          <w:sz w:val="24"/>
          <w:szCs w:val="24"/>
        </w:rPr>
        <w:tab/>
      </w:r>
      <w:r w:rsidR="00DC4C79">
        <w:rPr>
          <w:sz w:val="24"/>
          <w:szCs w:val="24"/>
        </w:rPr>
        <w:tab/>
      </w:r>
      <w:r w:rsidR="00DC4C79" w:rsidRPr="00B662BC">
        <w:rPr>
          <w:sz w:val="24"/>
          <w:szCs w:val="24"/>
          <w:u w:val="single"/>
        </w:rPr>
        <w:t>Commodities that Made Empires</w:t>
      </w:r>
      <w:r w:rsidR="00DC4C79">
        <w:rPr>
          <w:sz w:val="24"/>
          <w:szCs w:val="24"/>
        </w:rPr>
        <w:t>, continued</w:t>
      </w:r>
    </w:p>
    <w:p w:rsidR="00DC4C79" w:rsidRPr="00DC4C79" w:rsidRDefault="00DC4C79" w:rsidP="00DC4C79">
      <w:pPr>
        <w:ind w:left="1440"/>
        <w:rPr>
          <w:sz w:val="24"/>
          <w:szCs w:val="24"/>
        </w:rPr>
      </w:pPr>
      <w:r>
        <w:rPr>
          <w:sz w:val="24"/>
          <w:szCs w:val="24"/>
        </w:rPr>
        <w:t xml:space="preserve">READING: Sven </w:t>
      </w:r>
      <w:proofErr w:type="spellStart"/>
      <w:r>
        <w:rPr>
          <w:sz w:val="24"/>
          <w:szCs w:val="24"/>
        </w:rPr>
        <w:t>Beckert</w:t>
      </w:r>
      <w:proofErr w:type="spellEnd"/>
      <w:r>
        <w:rPr>
          <w:sz w:val="24"/>
          <w:szCs w:val="24"/>
        </w:rPr>
        <w:t xml:space="preserve">, </w:t>
      </w:r>
      <w:r>
        <w:rPr>
          <w:i/>
          <w:sz w:val="24"/>
          <w:szCs w:val="24"/>
        </w:rPr>
        <w:t>Empire of Cotton: A Global History</w:t>
      </w:r>
      <w:r>
        <w:rPr>
          <w:sz w:val="24"/>
          <w:szCs w:val="24"/>
        </w:rPr>
        <w:t xml:space="preserve"> (2014), chapters 8-14.</w:t>
      </w:r>
      <w:r w:rsidR="00F61A7C">
        <w:rPr>
          <w:sz w:val="24"/>
          <w:szCs w:val="24"/>
        </w:rPr>
        <w:t xml:space="preserve"> </w:t>
      </w:r>
    </w:p>
    <w:p w:rsidR="005967E9" w:rsidRPr="005967E9" w:rsidRDefault="005967E9">
      <w:pPr>
        <w:rPr>
          <w:sz w:val="24"/>
          <w:szCs w:val="24"/>
        </w:rPr>
      </w:pPr>
    </w:p>
    <w:sectPr w:rsidR="005967E9" w:rsidRPr="0059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94"/>
    <w:rsid w:val="00021D13"/>
    <w:rsid w:val="00083E49"/>
    <w:rsid w:val="001072B4"/>
    <w:rsid w:val="001477F5"/>
    <w:rsid w:val="001843B6"/>
    <w:rsid w:val="001A4BBB"/>
    <w:rsid w:val="001D5634"/>
    <w:rsid w:val="005423BC"/>
    <w:rsid w:val="005967E9"/>
    <w:rsid w:val="00701FB6"/>
    <w:rsid w:val="00741E2B"/>
    <w:rsid w:val="00792BBC"/>
    <w:rsid w:val="009D294D"/>
    <w:rsid w:val="00AB000E"/>
    <w:rsid w:val="00B17E9C"/>
    <w:rsid w:val="00B662BC"/>
    <w:rsid w:val="00C06E25"/>
    <w:rsid w:val="00C32C94"/>
    <w:rsid w:val="00DC4C79"/>
    <w:rsid w:val="00E00D23"/>
    <w:rsid w:val="00EF2050"/>
    <w:rsid w:val="00F14D36"/>
    <w:rsid w:val="00F61A7C"/>
    <w:rsid w:val="00FD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9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2C94"/>
    <w:rPr>
      <w:color w:val="0000FF"/>
      <w:u w:val="single"/>
    </w:rPr>
  </w:style>
  <w:style w:type="paragraph" w:customStyle="1" w:styleId="Default">
    <w:name w:val="Default"/>
    <w:basedOn w:val="Normal"/>
    <w:uiPriority w:val="99"/>
    <w:rsid w:val="001477F5"/>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NormalWeb">
    <w:name w:val="Normal (Web)"/>
    <w:basedOn w:val="Normal"/>
    <w:uiPriority w:val="99"/>
    <w:unhideWhenUsed/>
    <w:rsid w:val="001477F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1477F5"/>
    <w:rPr>
      <w:b/>
      <w:bCs/>
    </w:rPr>
  </w:style>
  <w:style w:type="paragraph" w:customStyle="1" w:styleId="xmsonormal">
    <w:name w:val="x_msonormal"/>
    <w:basedOn w:val="Normal"/>
    <w:rsid w:val="001477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1072B4"/>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BodyTextChar">
    <w:name w:val="Body Text Char"/>
    <w:basedOn w:val="DefaultParagraphFont"/>
    <w:link w:val="BodyText"/>
    <w:rsid w:val="001072B4"/>
    <w:rPr>
      <w:rFonts w:ascii="Courier New" w:eastAsia="Times New Roman" w:hAnsi="Courier New" w:cs="Courier New"/>
      <w:sz w:val="20"/>
      <w:szCs w:val="20"/>
    </w:rPr>
  </w:style>
  <w:style w:type="character" w:customStyle="1" w:styleId="st">
    <w:name w:val="st"/>
    <w:basedOn w:val="DefaultParagraphFont"/>
    <w:rsid w:val="00792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9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2C94"/>
    <w:rPr>
      <w:color w:val="0000FF"/>
      <w:u w:val="single"/>
    </w:rPr>
  </w:style>
  <w:style w:type="paragraph" w:customStyle="1" w:styleId="Default">
    <w:name w:val="Default"/>
    <w:basedOn w:val="Normal"/>
    <w:uiPriority w:val="99"/>
    <w:rsid w:val="001477F5"/>
    <w:pPr>
      <w:autoSpaceDE w:val="0"/>
      <w:autoSpaceDN w:val="0"/>
      <w:spacing w:after="0" w:line="240" w:lineRule="auto"/>
    </w:pPr>
    <w:rPr>
      <w:rFonts w:ascii="Times New Roman" w:eastAsia="SimSun" w:hAnsi="Times New Roman" w:cs="Times New Roman"/>
      <w:color w:val="000000"/>
      <w:sz w:val="24"/>
      <w:szCs w:val="24"/>
      <w:lang w:eastAsia="zh-CN"/>
    </w:rPr>
  </w:style>
  <w:style w:type="paragraph" w:styleId="NormalWeb">
    <w:name w:val="Normal (Web)"/>
    <w:basedOn w:val="Normal"/>
    <w:uiPriority w:val="99"/>
    <w:unhideWhenUsed/>
    <w:rsid w:val="001477F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1477F5"/>
    <w:rPr>
      <w:b/>
      <w:bCs/>
    </w:rPr>
  </w:style>
  <w:style w:type="paragraph" w:customStyle="1" w:styleId="xmsonormal">
    <w:name w:val="x_msonormal"/>
    <w:basedOn w:val="Normal"/>
    <w:rsid w:val="001477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1072B4"/>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BodyTextChar">
    <w:name w:val="Body Text Char"/>
    <w:basedOn w:val="DefaultParagraphFont"/>
    <w:link w:val="BodyText"/>
    <w:rsid w:val="001072B4"/>
    <w:rPr>
      <w:rFonts w:ascii="Courier New" w:eastAsia="Times New Roman" w:hAnsi="Courier New" w:cs="Courier New"/>
      <w:sz w:val="20"/>
      <w:szCs w:val="20"/>
    </w:rPr>
  </w:style>
  <w:style w:type="character" w:customStyle="1" w:styleId="st">
    <w:name w:val="st"/>
    <w:basedOn w:val="DefaultParagraphFont"/>
    <w:rsid w:val="00792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881">
      <w:bodyDiv w:val="1"/>
      <w:marLeft w:val="0"/>
      <w:marRight w:val="0"/>
      <w:marTop w:val="0"/>
      <w:marBottom w:val="0"/>
      <w:divBdr>
        <w:top w:val="none" w:sz="0" w:space="0" w:color="auto"/>
        <w:left w:val="none" w:sz="0" w:space="0" w:color="auto"/>
        <w:bottom w:val="none" w:sz="0" w:space="0" w:color="auto"/>
        <w:right w:val="none" w:sz="0" w:space="0" w:color="auto"/>
      </w:divBdr>
    </w:div>
    <w:div w:id="513420740">
      <w:bodyDiv w:val="1"/>
      <w:marLeft w:val="0"/>
      <w:marRight w:val="0"/>
      <w:marTop w:val="0"/>
      <w:marBottom w:val="0"/>
      <w:divBdr>
        <w:top w:val="none" w:sz="0" w:space="0" w:color="auto"/>
        <w:left w:val="none" w:sz="0" w:space="0" w:color="auto"/>
        <w:bottom w:val="none" w:sz="0" w:space="0" w:color="auto"/>
        <w:right w:val="none" w:sz="0" w:space="0" w:color="auto"/>
      </w:divBdr>
    </w:div>
    <w:div w:id="1106658658">
      <w:bodyDiv w:val="1"/>
      <w:marLeft w:val="0"/>
      <w:marRight w:val="0"/>
      <w:marTop w:val="0"/>
      <w:marBottom w:val="0"/>
      <w:divBdr>
        <w:top w:val="none" w:sz="0" w:space="0" w:color="auto"/>
        <w:left w:val="none" w:sz="0" w:space="0" w:color="auto"/>
        <w:bottom w:val="none" w:sz="0" w:space="0" w:color="auto"/>
        <w:right w:val="none" w:sz="0" w:space="0" w:color="auto"/>
      </w:divBdr>
    </w:div>
    <w:div w:id="20617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https://www.uta.edu/conduct/" TargetMode="External"/><Relationship Id="rId18" Type="http://schemas.openxmlformats.org/officeDocument/2006/relationships/hyperlink" Target="http://www.uta.edu/universitycollege/resources/college-based-clinics-labs.php" TargetMode="External"/><Relationship Id="rId3" Type="http://schemas.openxmlformats.org/officeDocument/2006/relationships/settings" Target="settings.xml"/><Relationship Id="rId21" Type="http://schemas.openxmlformats.org/officeDocument/2006/relationships/hyperlink" Target="mailto:resources@uta.edu" TargetMode="External"/><Relationship Id="rId7" Type="http://schemas.openxmlformats.org/officeDocument/2006/relationships/hyperlink" Target="http://www.uta.edu/disability" TargetMode="External"/><Relationship Id="rId12" Type="http://schemas.openxmlformats.org/officeDocument/2006/relationships/hyperlink" Target="file:///C:\Users\hannabas\AppData\Local\Microsoft\Windows\Temporary%20Internet%20Files\Content.Outlook\697W32M3\jmhood@uta.edu" TargetMode="External"/><Relationship Id="rId17" Type="http://schemas.openxmlformats.org/officeDocument/2006/relationships/hyperlink" Target="http://www.uta.edu/universitycollege/current/academic-support/learning-center/tutoring/index.php" TargetMode="External"/><Relationship Id="rId2" Type="http://schemas.microsoft.com/office/2007/relationships/stylesWithEffects" Target="stylesWithEffects.xml"/><Relationship Id="rId16" Type="http://schemas.openxmlformats.org/officeDocument/2006/relationships/hyperlink" Target="http://www.uta.edu/sfs" TargetMode="External"/><Relationship Id="rId20" Type="http://schemas.openxmlformats.org/officeDocument/2006/relationships/hyperlink" Target="http://www.uta.edu/universitycollege/current/academic-support/mcnair/index.php" TargetMode="External"/><Relationship Id="rId1" Type="http://schemas.openxmlformats.org/officeDocument/2006/relationships/styles" Target="styles.xml"/><Relationship Id="rId6" Type="http://schemas.openxmlformats.org/officeDocument/2006/relationships/hyperlink" Target="http://wweb.uta.edu/aao/fao/" TargetMode="External"/><Relationship Id="rId11" Type="http://schemas.openxmlformats.org/officeDocument/2006/relationships/hyperlink" Target="http://www.uta.edu/titleIX" TargetMode="External"/><Relationship Id="rId24" Type="http://schemas.openxmlformats.org/officeDocument/2006/relationships/theme" Target="theme/theme1.xml"/><Relationship Id="rId5" Type="http://schemas.openxmlformats.org/officeDocument/2006/relationships/hyperlink" Target="https://www.uta.edu/mentis/public/" TargetMode="External"/><Relationship Id="rId15" Type="http://schemas.openxmlformats.org/officeDocument/2006/relationships/hyperlink" Target="http://www.uta.edu/news/info/campus-carry/" TargetMode="External"/><Relationship Id="rId23" Type="http://schemas.openxmlformats.org/officeDocument/2006/relationships/fontTable" Target="fontTable.xml"/><Relationship Id="rId10" Type="http://schemas.openxmlformats.org/officeDocument/2006/relationships/hyperlink" Target="http://www.uta.edu/hr/eos/index.php" TargetMode="External"/><Relationship Id="rId19" Type="http://schemas.openxmlformats.org/officeDocument/2006/relationships/hyperlink" Target="http://www.uta.edu/universitycollege/resources/advising.php" TargetMode="External"/><Relationship Id="rId4" Type="http://schemas.openxmlformats.org/officeDocument/2006/relationships/webSettings" Target="webSettings.xml"/><Relationship Id="rId9" Type="http://schemas.openxmlformats.org/officeDocument/2006/relationships/hyperlink" Target="http://www.uta.edu/caps/"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universitycollege/resourc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TotalTime>
  <Pages>7</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oit</cp:lastModifiedBy>
  <cp:revision>8</cp:revision>
  <dcterms:created xsi:type="dcterms:W3CDTF">2018-01-14T21:52:00Z</dcterms:created>
  <dcterms:modified xsi:type="dcterms:W3CDTF">2018-01-15T21:29:00Z</dcterms:modified>
</cp:coreProperties>
</file>