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EBB2" w14:textId="77777777" w:rsidR="004142DA" w:rsidRDefault="00CC07ED" w:rsidP="003F1330">
      <w:pPr>
        <w:spacing w:after="0"/>
        <w:contextualSpacing/>
        <w:jc w:val="center"/>
        <w:rPr>
          <w:b/>
          <w:sz w:val="32"/>
        </w:rPr>
      </w:pPr>
      <w:bookmarkStart w:id="0" w:name="_GoBack"/>
      <w:bookmarkEnd w:id="0"/>
      <w:r w:rsidRPr="003F1330">
        <w:rPr>
          <w:b/>
          <w:sz w:val="32"/>
        </w:rPr>
        <w:t>ENGL2384 – STRUCTURE OF MODERN ENGLISH</w:t>
      </w:r>
    </w:p>
    <w:p w14:paraId="7DFF179B" w14:textId="7DE13B76" w:rsidR="00FD4EFA" w:rsidRPr="00FD4EFA" w:rsidRDefault="00FD4EFA" w:rsidP="00FD4EFA">
      <w:pPr>
        <w:spacing w:after="0" w:line="240" w:lineRule="auto"/>
        <w:jc w:val="center"/>
        <w:rPr>
          <w:rFonts w:ascii="Times New Roman" w:eastAsia="Times New Roman" w:hAnsi="Times New Roman" w:cs="Times New Roman"/>
          <w:sz w:val="24"/>
          <w:szCs w:val="24"/>
          <w:lang w:eastAsia="zh-CN"/>
        </w:rPr>
      </w:pPr>
      <w:r w:rsidRPr="00FD4EFA">
        <w:rPr>
          <w:rFonts w:ascii="Times New Roman" w:eastAsia="Times New Roman" w:hAnsi="Times New Roman" w:cs="Times New Roman"/>
          <w:noProof/>
          <w:sz w:val="24"/>
          <w:szCs w:val="24"/>
        </w:rPr>
        <w:drawing>
          <wp:inline distT="0" distB="0" distL="0" distR="0" wp14:anchorId="3DA50008" wp14:editId="382A277D">
            <wp:extent cx="3366135" cy="1918798"/>
            <wp:effectExtent l="0" t="0" r="0" b="12065"/>
            <wp:docPr id="1" name="Picture 1" descr="mage result for english syn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english synta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988" cy="19261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F200F3" w:rsidRPr="003F1330" w14:paraId="3ED6FF26" w14:textId="77777777" w:rsidTr="00C0022E">
        <w:tc>
          <w:tcPr>
            <w:tcW w:w="4675" w:type="dxa"/>
            <w:vAlign w:val="center"/>
          </w:tcPr>
          <w:p w14:paraId="20DCCA88" w14:textId="5B0A5832" w:rsidR="00F200F3" w:rsidRPr="003F1330" w:rsidRDefault="00C0022E" w:rsidP="003F1330">
            <w:pPr>
              <w:contextualSpacing/>
              <w:jc w:val="center"/>
            </w:pPr>
            <w:r w:rsidRPr="003F1330">
              <w:rPr>
                <w:b/>
              </w:rPr>
              <w:t>Class Number and Section</w:t>
            </w:r>
            <w:r w:rsidRPr="003F1330">
              <w:t>: 2</w:t>
            </w:r>
            <w:r w:rsidR="00AA211A">
              <w:t>384-003</w:t>
            </w:r>
          </w:p>
          <w:p w14:paraId="51528617" w14:textId="32DAE65A" w:rsidR="00F200F3" w:rsidRPr="003F1330" w:rsidRDefault="00C0022E" w:rsidP="003F1330">
            <w:pPr>
              <w:contextualSpacing/>
              <w:jc w:val="center"/>
            </w:pPr>
            <w:r w:rsidRPr="003F1330">
              <w:rPr>
                <w:b/>
              </w:rPr>
              <w:t>Class Location</w:t>
            </w:r>
            <w:r w:rsidRPr="003F1330">
              <w:t xml:space="preserve">: </w:t>
            </w:r>
            <w:r w:rsidR="00AA211A">
              <w:t>PH 207</w:t>
            </w:r>
          </w:p>
          <w:p w14:paraId="65EF1385" w14:textId="2D81381C" w:rsidR="00F200F3" w:rsidRPr="003F1330" w:rsidRDefault="00C0022E" w:rsidP="00AA211A">
            <w:pPr>
              <w:contextualSpacing/>
              <w:jc w:val="center"/>
            </w:pPr>
            <w:r w:rsidRPr="003F1330">
              <w:rPr>
                <w:b/>
              </w:rPr>
              <w:t>Meeting Time</w:t>
            </w:r>
            <w:r w:rsidR="006D2C6E">
              <w:t>: T/TH</w:t>
            </w:r>
            <w:r w:rsidR="0067323C">
              <w:t xml:space="preserve"> </w:t>
            </w:r>
            <w:r w:rsidR="00AA211A">
              <w:t>2:00-3:20pm</w:t>
            </w:r>
          </w:p>
        </w:tc>
        <w:tc>
          <w:tcPr>
            <w:tcW w:w="4675" w:type="dxa"/>
            <w:vAlign w:val="center"/>
          </w:tcPr>
          <w:p w14:paraId="1FCCB620" w14:textId="77777777" w:rsidR="00C0022E" w:rsidRPr="003F1330" w:rsidRDefault="00C0022E" w:rsidP="003F1330">
            <w:pPr>
              <w:contextualSpacing/>
              <w:jc w:val="center"/>
            </w:pPr>
          </w:p>
          <w:p w14:paraId="0B73B72E" w14:textId="77777777" w:rsidR="00F200F3" w:rsidRPr="003F1330" w:rsidRDefault="00C0022E" w:rsidP="003F1330">
            <w:pPr>
              <w:contextualSpacing/>
              <w:jc w:val="center"/>
            </w:pPr>
            <w:r w:rsidRPr="003F1330">
              <w:rPr>
                <w:b/>
              </w:rPr>
              <w:t>Instructor Name</w:t>
            </w:r>
            <w:r w:rsidRPr="003F1330">
              <w:t>: Mr. Sean Farrell</w:t>
            </w:r>
          </w:p>
          <w:p w14:paraId="7147131C" w14:textId="77777777" w:rsidR="00C0022E" w:rsidRPr="003F1330" w:rsidRDefault="00C0022E" w:rsidP="003F1330">
            <w:pPr>
              <w:contextualSpacing/>
              <w:jc w:val="center"/>
            </w:pPr>
            <w:r w:rsidRPr="003F1330">
              <w:rPr>
                <w:b/>
              </w:rPr>
              <w:t>Office</w:t>
            </w:r>
            <w:r w:rsidRPr="003F1330">
              <w:t>: Carlisle Hall 417</w:t>
            </w:r>
          </w:p>
          <w:p w14:paraId="4EB50A3D" w14:textId="6195F6B1" w:rsidR="00C0022E" w:rsidRPr="003F1330" w:rsidRDefault="00C0022E" w:rsidP="003F1330">
            <w:pPr>
              <w:contextualSpacing/>
              <w:jc w:val="center"/>
            </w:pPr>
            <w:r w:rsidRPr="003F1330">
              <w:rPr>
                <w:b/>
              </w:rPr>
              <w:t>Office Hours</w:t>
            </w:r>
            <w:r w:rsidRPr="003F1330">
              <w:t xml:space="preserve">: </w:t>
            </w:r>
            <w:r w:rsidR="00F40645">
              <w:t>W/F 1-2:30</w:t>
            </w:r>
          </w:p>
          <w:p w14:paraId="1256A3C0" w14:textId="77777777" w:rsidR="00C0022E" w:rsidRPr="003F1330" w:rsidRDefault="00C0022E" w:rsidP="003F1330">
            <w:pPr>
              <w:contextualSpacing/>
              <w:jc w:val="center"/>
            </w:pPr>
            <w:r w:rsidRPr="003F1330">
              <w:rPr>
                <w:b/>
              </w:rPr>
              <w:t>Email</w:t>
            </w:r>
            <w:r w:rsidRPr="003F1330">
              <w:t xml:space="preserve">: </w:t>
            </w:r>
            <w:hyperlink r:id="rId8" w:history="1">
              <w:r w:rsidRPr="003F1330">
                <w:rPr>
                  <w:rStyle w:val="Hyperlink"/>
                </w:rPr>
                <w:t>sean.farrell2@uta.edu</w:t>
              </w:r>
            </w:hyperlink>
          </w:p>
          <w:p w14:paraId="20D4AB35" w14:textId="402157CC" w:rsidR="00C0022E" w:rsidRPr="003F1330" w:rsidRDefault="00C0022E" w:rsidP="003F1330">
            <w:pPr>
              <w:contextualSpacing/>
              <w:jc w:val="center"/>
            </w:pPr>
            <w:r w:rsidRPr="003F1330">
              <w:rPr>
                <w:b/>
              </w:rPr>
              <w:t>Office Phone</w:t>
            </w:r>
            <w:r w:rsidRPr="003F1330">
              <w:t>: 817-272-</w:t>
            </w:r>
            <w:r w:rsidR="0067323C">
              <w:t>2692</w:t>
            </w:r>
          </w:p>
          <w:p w14:paraId="19B8DB69" w14:textId="77777777" w:rsidR="00C0022E" w:rsidRPr="003F1330" w:rsidRDefault="00C0022E" w:rsidP="003F1330">
            <w:pPr>
              <w:contextualSpacing/>
              <w:jc w:val="center"/>
            </w:pPr>
            <w:r w:rsidRPr="003F1330">
              <w:rPr>
                <w:b/>
              </w:rPr>
              <w:t>Faculty Profile</w:t>
            </w:r>
            <w:r w:rsidRPr="003F1330">
              <w:t xml:space="preserve">: </w:t>
            </w:r>
            <w:hyperlink r:id="rId9" w:history="1">
              <w:r w:rsidRPr="003F1330">
                <w:rPr>
                  <w:rStyle w:val="Hyperlink"/>
                </w:rPr>
                <w:t>https://mentis.uta.edu/explore/profile/sean-farrell</w:t>
              </w:r>
            </w:hyperlink>
          </w:p>
          <w:p w14:paraId="63C605BD" w14:textId="77777777" w:rsidR="00C0022E" w:rsidRPr="003F1330" w:rsidRDefault="00C0022E" w:rsidP="003F1330">
            <w:pPr>
              <w:contextualSpacing/>
            </w:pPr>
          </w:p>
        </w:tc>
      </w:tr>
    </w:tbl>
    <w:p w14:paraId="59072653" w14:textId="77777777" w:rsidR="00F200F3" w:rsidRPr="003F1330" w:rsidRDefault="00F200F3" w:rsidP="003F1330">
      <w:pPr>
        <w:spacing w:after="0"/>
        <w:contextualSpacing/>
      </w:pPr>
    </w:p>
    <w:p w14:paraId="02562FF9" w14:textId="3AC9084D" w:rsidR="007D59D8" w:rsidRDefault="003F1330" w:rsidP="003F1330">
      <w:pPr>
        <w:spacing w:after="0"/>
        <w:contextualSpacing/>
        <w:rPr>
          <w:b/>
        </w:rPr>
      </w:pPr>
      <w:r>
        <w:rPr>
          <w:b/>
        </w:rPr>
        <w:t>Course Description</w:t>
      </w:r>
    </w:p>
    <w:p w14:paraId="53DFEB02" w14:textId="77777777" w:rsidR="00C33418" w:rsidRDefault="00C33418" w:rsidP="003F1330">
      <w:pPr>
        <w:spacing w:after="0"/>
        <w:ind w:left="720"/>
        <w:contextualSpacing/>
        <w:rPr>
          <w:b/>
        </w:rPr>
      </w:pPr>
    </w:p>
    <w:p w14:paraId="3F7B1390" w14:textId="0EBFD8E9" w:rsidR="00C0022E" w:rsidRDefault="00C0022E" w:rsidP="003F1330">
      <w:pPr>
        <w:spacing w:after="0"/>
        <w:ind w:left="720"/>
        <w:contextualSpacing/>
      </w:pPr>
      <w:r w:rsidRPr="003F1330">
        <w:t xml:space="preserve">This course is an introduction to the grammatical structure of modern English at the level of the word, clause, and discourse, with applications for teaching effective writing. In this course, we will examine English grammar </w:t>
      </w:r>
      <w:r w:rsidRPr="003F1330">
        <w:rPr>
          <w:i/>
        </w:rPr>
        <w:t>not</w:t>
      </w:r>
      <w:r w:rsidRPr="003F1330">
        <w:t xml:space="preserve"> to teach you “proper” English, but to discover how English is used and what is unique about this particular language. We will then apply this knowledge to the teaching of English</w:t>
      </w:r>
      <w:r w:rsidR="007E4CCA">
        <w:t>, either in ESL or first language contexts</w:t>
      </w:r>
      <w:r w:rsidRPr="003F1330">
        <w:t xml:space="preserve">, with the understanding that a side benefit of such knowledge </w:t>
      </w:r>
      <w:r w:rsidR="009D0783" w:rsidRPr="003F1330">
        <w:t xml:space="preserve">is that it </w:t>
      </w:r>
      <w:r w:rsidRPr="003F1330">
        <w:t>can improve your writing.</w:t>
      </w:r>
    </w:p>
    <w:p w14:paraId="4D504B70" w14:textId="77777777" w:rsidR="003F1330" w:rsidRPr="003F1330" w:rsidRDefault="003F1330" w:rsidP="003F1330">
      <w:pPr>
        <w:spacing w:after="0"/>
        <w:ind w:left="720"/>
        <w:contextualSpacing/>
      </w:pPr>
    </w:p>
    <w:p w14:paraId="6FAA4651" w14:textId="2AE8820D" w:rsidR="00C0022E" w:rsidRDefault="00C0022E" w:rsidP="003F1330">
      <w:pPr>
        <w:spacing w:after="0"/>
        <w:ind w:left="720"/>
        <w:contextualSpacing/>
      </w:pPr>
      <w:r w:rsidRPr="003F1330">
        <w:t xml:space="preserve">In other words, in this class we will focus on three main questions: </w:t>
      </w:r>
      <w:r w:rsidRPr="003F1330">
        <w:rPr>
          <w:i/>
        </w:rPr>
        <w:t>First</w:t>
      </w:r>
      <w:r w:rsidRPr="003F1330">
        <w:t xml:space="preserve">, what are the grammatical features of English in use, especially at the level of the </w:t>
      </w:r>
      <w:r w:rsidR="006D2C6E">
        <w:t>phrase</w:t>
      </w:r>
      <w:r w:rsidRPr="003F1330">
        <w:t xml:space="preserve"> and clause? </w:t>
      </w:r>
      <w:r w:rsidRPr="003F1330">
        <w:rPr>
          <w:i/>
        </w:rPr>
        <w:t>Second</w:t>
      </w:r>
      <w:r w:rsidRPr="003F1330">
        <w:t xml:space="preserve">, </w:t>
      </w:r>
      <w:r w:rsidR="000C4A4D">
        <w:t>how are these features often presented to native and nonnative students of English</w:t>
      </w:r>
      <w:r w:rsidRPr="003F1330">
        <w:t xml:space="preserve">? And </w:t>
      </w:r>
      <w:r w:rsidRPr="003F1330">
        <w:rPr>
          <w:i/>
        </w:rPr>
        <w:t>third</w:t>
      </w:r>
      <w:r w:rsidRPr="003F1330">
        <w:t>, how can we use our answers to the first two questions to design effective lesson plans?</w:t>
      </w:r>
    </w:p>
    <w:p w14:paraId="1C6ADCE2" w14:textId="77777777" w:rsidR="003F1330" w:rsidRPr="003F1330" w:rsidRDefault="003F1330" w:rsidP="003F1330">
      <w:pPr>
        <w:spacing w:after="0"/>
        <w:contextualSpacing/>
      </w:pPr>
    </w:p>
    <w:p w14:paraId="72587B72" w14:textId="77777777" w:rsidR="00C0022E" w:rsidRPr="003F1330" w:rsidRDefault="007D59D8" w:rsidP="003F1330">
      <w:pPr>
        <w:spacing w:after="0"/>
        <w:contextualSpacing/>
        <w:rPr>
          <w:b/>
        </w:rPr>
      </w:pPr>
      <w:r w:rsidRPr="003F1330">
        <w:rPr>
          <w:b/>
        </w:rPr>
        <w:t>Learning Outcomes:</w:t>
      </w:r>
    </w:p>
    <w:p w14:paraId="4AA891BC" w14:textId="77777777" w:rsidR="003F1330" w:rsidRDefault="003F1330" w:rsidP="003F1330">
      <w:pPr>
        <w:spacing w:after="0"/>
        <w:contextualSpacing/>
      </w:pPr>
    </w:p>
    <w:p w14:paraId="4784C584" w14:textId="77777777" w:rsidR="007D59D8" w:rsidRDefault="007D59D8" w:rsidP="003F1330">
      <w:pPr>
        <w:spacing w:after="0"/>
        <w:ind w:left="360"/>
        <w:contextualSpacing/>
      </w:pPr>
      <w:r w:rsidRPr="003F1330">
        <w:t>By the end of this course, you should …</w:t>
      </w:r>
    </w:p>
    <w:p w14:paraId="50479F0A" w14:textId="77777777" w:rsidR="00C33418" w:rsidRPr="003F1330" w:rsidRDefault="00C33418" w:rsidP="003F1330">
      <w:pPr>
        <w:spacing w:after="0"/>
        <w:ind w:left="360"/>
        <w:contextualSpacing/>
      </w:pPr>
    </w:p>
    <w:p w14:paraId="4B9A3198" w14:textId="2856CA66" w:rsidR="007D59D8" w:rsidRPr="003F1330" w:rsidRDefault="007D59D8" w:rsidP="003F1330">
      <w:pPr>
        <w:pStyle w:val="ListParagraph"/>
        <w:numPr>
          <w:ilvl w:val="0"/>
          <w:numId w:val="2"/>
        </w:numPr>
        <w:spacing w:after="0"/>
        <w:ind w:left="1080"/>
      </w:pPr>
      <w:r w:rsidRPr="003F1330">
        <w:t>Have a functional understanding of core concepts in English linguistics, including and especially English phonology,</w:t>
      </w:r>
      <w:r w:rsidR="009F7739" w:rsidRPr="003F1330">
        <w:t xml:space="preserve"> morphology, and</w:t>
      </w:r>
      <w:r w:rsidRPr="003F1330">
        <w:t xml:space="preserve"> phrase structure;</w:t>
      </w:r>
    </w:p>
    <w:p w14:paraId="756D697C" w14:textId="1E1E8524" w:rsidR="007D59D8" w:rsidRPr="003F1330" w:rsidRDefault="009F7739" w:rsidP="003F1330">
      <w:pPr>
        <w:pStyle w:val="ListParagraph"/>
        <w:numPr>
          <w:ilvl w:val="0"/>
          <w:numId w:val="2"/>
        </w:numPr>
        <w:spacing w:after="0"/>
        <w:ind w:left="1080"/>
      </w:pPr>
      <w:r w:rsidRPr="003F1330">
        <w:t>Be able to apply your knowledge of English linguistics in a variety of contexts, including as a writing instructor, editor, or ESL teacher;</w:t>
      </w:r>
    </w:p>
    <w:p w14:paraId="09E7D68D" w14:textId="4953EFC5" w:rsidR="009F7739" w:rsidRPr="003F1330" w:rsidRDefault="009F7739" w:rsidP="003F1330">
      <w:pPr>
        <w:pStyle w:val="ListParagraph"/>
        <w:numPr>
          <w:ilvl w:val="0"/>
          <w:numId w:val="2"/>
        </w:numPr>
        <w:spacing w:after="0"/>
        <w:ind w:left="1080"/>
      </w:pPr>
      <w:r w:rsidRPr="003F1330">
        <w:lastRenderedPageBreak/>
        <w:t>Have a clear sense of best practices in language education and, specifically, lesson planning;</w:t>
      </w:r>
    </w:p>
    <w:p w14:paraId="2BC1EAA8" w14:textId="5BF0A247" w:rsidR="009F7739" w:rsidRPr="003F1330" w:rsidRDefault="009F7739" w:rsidP="003F1330">
      <w:pPr>
        <w:pStyle w:val="ListParagraph"/>
        <w:numPr>
          <w:ilvl w:val="0"/>
          <w:numId w:val="2"/>
        </w:numPr>
        <w:spacing w:after="0"/>
        <w:ind w:left="1080"/>
      </w:pPr>
      <w:r w:rsidRPr="003F1330">
        <w:t>Be able to teach grammar with confidence; and</w:t>
      </w:r>
    </w:p>
    <w:p w14:paraId="1E989598" w14:textId="5F6C61CB" w:rsidR="009F7739" w:rsidRPr="003F1330" w:rsidRDefault="009F7739" w:rsidP="003F1330">
      <w:pPr>
        <w:pStyle w:val="ListParagraph"/>
        <w:numPr>
          <w:ilvl w:val="0"/>
          <w:numId w:val="2"/>
        </w:numPr>
        <w:spacing w:after="0"/>
        <w:ind w:left="1080"/>
      </w:pPr>
      <w:r w:rsidRPr="003F1330">
        <w:t>Be well-prepared for future classes in the history of the English language or technical writing</w:t>
      </w:r>
    </w:p>
    <w:p w14:paraId="3FEBA5A6" w14:textId="77777777" w:rsidR="003F1330" w:rsidRDefault="003F1330" w:rsidP="003F1330">
      <w:pPr>
        <w:spacing w:after="0"/>
        <w:contextualSpacing/>
        <w:rPr>
          <w:b/>
        </w:rPr>
      </w:pPr>
    </w:p>
    <w:p w14:paraId="32EC5EA0" w14:textId="77777777" w:rsidR="009F7739" w:rsidRDefault="009F7739" w:rsidP="003F1330">
      <w:pPr>
        <w:spacing w:after="0"/>
        <w:contextualSpacing/>
        <w:rPr>
          <w:b/>
        </w:rPr>
      </w:pPr>
      <w:r w:rsidRPr="003F1330">
        <w:rPr>
          <w:b/>
        </w:rPr>
        <w:t>Required Texts/Materials</w:t>
      </w:r>
    </w:p>
    <w:p w14:paraId="4E3EAEAA" w14:textId="77777777" w:rsidR="003F1330" w:rsidRPr="003F1330" w:rsidRDefault="003F1330" w:rsidP="003F1330">
      <w:pPr>
        <w:spacing w:after="0"/>
        <w:contextualSpacing/>
        <w:rPr>
          <w:b/>
        </w:rPr>
      </w:pPr>
    </w:p>
    <w:p w14:paraId="5B0F4AE5" w14:textId="37E63D30" w:rsidR="00E17789" w:rsidRPr="006D2C6E" w:rsidRDefault="006D2C6E" w:rsidP="0081704C">
      <w:pPr>
        <w:ind w:left="720"/>
        <w:rPr>
          <w:rFonts w:eastAsia="Times New Roman"/>
          <w:sz w:val="24"/>
          <w:szCs w:val="24"/>
          <w:lang w:eastAsia="zh-CN"/>
        </w:rPr>
      </w:pPr>
      <w:r>
        <w:rPr>
          <w:bCs/>
        </w:rPr>
        <w:t xml:space="preserve">There is no required textbook for this course. That having been said, our discussion of grammar this semester is based on </w:t>
      </w:r>
      <w:r>
        <w:rPr>
          <w:bCs/>
          <w:i/>
        </w:rPr>
        <w:t>The Grammar Book: Form, Meaning, and Use for English Language Teachers, 3</w:t>
      </w:r>
      <w:r w:rsidRPr="006D2C6E">
        <w:rPr>
          <w:bCs/>
          <w:i/>
          <w:vertAlign w:val="superscript"/>
        </w:rPr>
        <w:t>rd</w:t>
      </w:r>
      <w:r>
        <w:rPr>
          <w:bCs/>
          <w:i/>
        </w:rPr>
        <w:t xml:space="preserve"> Edition</w:t>
      </w:r>
      <w:r>
        <w:rPr>
          <w:bCs/>
        </w:rPr>
        <w:t>, by Diane Larsen-Freeman and Marianne Celce-Murcia, so you may want to purchase or rent a copy for reference. You are NOT required to do so, of course.</w:t>
      </w:r>
    </w:p>
    <w:p w14:paraId="53ECBBC1" w14:textId="2CBD92F9" w:rsidR="009F7739" w:rsidRPr="003F1330" w:rsidRDefault="009F7739" w:rsidP="003F1330">
      <w:pPr>
        <w:spacing w:after="0"/>
        <w:contextualSpacing/>
      </w:pPr>
      <w:r w:rsidRPr="003F1330">
        <w:rPr>
          <w:b/>
        </w:rPr>
        <w:t>Grades</w:t>
      </w:r>
    </w:p>
    <w:p w14:paraId="55BF9609" w14:textId="77777777" w:rsidR="003F1330" w:rsidRDefault="003F1330" w:rsidP="003F1330">
      <w:pPr>
        <w:spacing w:after="0"/>
        <w:contextualSpacing/>
      </w:pPr>
    </w:p>
    <w:p w14:paraId="7FBC33C5" w14:textId="0DB252B2" w:rsidR="009F7739" w:rsidRDefault="009F7739" w:rsidP="003F1330">
      <w:pPr>
        <w:spacing w:after="0"/>
        <w:ind w:left="720"/>
        <w:contextualSpacing/>
      </w:pPr>
      <w:r w:rsidRPr="003F1330">
        <w:t xml:space="preserve">This course is graded </w:t>
      </w:r>
      <w:r w:rsidR="000C4A4D">
        <w:t>on</w:t>
      </w:r>
      <w:r w:rsidR="00FD4EFA">
        <w:t xml:space="preserve"> a 100</w:t>
      </w:r>
      <w:r w:rsidRPr="003F1330">
        <w:t>-point scale. Final grades will b</w:t>
      </w:r>
      <w:r w:rsidR="00FD4EFA">
        <w:t>e determined as follows: A: 100-89.5%; B: 89.4-79.5%</w:t>
      </w:r>
      <w:r w:rsidRPr="003F1330">
        <w:t xml:space="preserve">; C: </w:t>
      </w:r>
      <w:r w:rsidR="00FD4EFA">
        <w:t>79.4-69.5%</w:t>
      </w:r>
      <w:r w:rsidRPr="003F1330">
        <w:t xml:space="preserve">; D: </w:t>
      </w:r>
      <w:r w:rsidR="00FD4EFA">
        <w:t>69.4-59.5%</w:t>
      </w:r>
      <w:r w:rsidRPr="003F1330">
        <w:t xml:space="preserve">; F: </w:t>
      </w:r>
      <w:r w:rsidR="00FD4EFA">
        <w:t>59.4% and below. As you can see, I do round your grade to the nearest whole number</w:t>
      </w:r>
      <w:r w:rsidRPr="003F1330">
        <w:t>.</w:t>
      </w:r>
    </w:p>
    <w:p w14:paraId="0D1B402C" w14:textId="77777777" w:rsidR="00FD4EFA" w:rsidRPr="003F1330" w:rsidRDefault="00FD4EFA" w:rsidP="003F1330">
      <w:pPr>
        <w:spacing w:after="0"/>
        <w:ind w:left="720"/>
        <w:contextualSpacing/>
      </w:pPr>
    </w:p>
    <w:p w14:paraId="5C47D64C" w14:textId="55FBDADC" w:rsidR="009F7739" w:rsidRDefault="009F7739" w:rsidP="003F1330">
      <w:pPr>
        <w:spacing w:after="0"/>
        <w:ind w:left="720"/>
        <w:contextualSpacing/>
      </w:pPr>
      <w:r w:rsidRPr="003F1330">
        <w:t>Grades will be determined based on the following assignments:</w:t>
      </w:r>
    </w:p>
    <w:p w14:paraId="575DEAE1" w14:textId="77777777" w:rsidR="00BF5456" w:rsidRDefault="00BF5456" w:rsidP="003F1330">
      <w:pPr>
        <w:spacing w:after="0"/>
        <w:ind w:left="720"/>
        <w:contextualSpacing/>
      </w:pPr>
    </w:p>
    <w:tbl>
      <w:tblPr>
        <w:tblStyle w:val="GridTable2"/>
        <w:tblW w:w="0" w:type="auto"/>
        <w:tblLook w:val="04A0" w:firstRow="1" w:lastRow="0" w:firstColumn="1" w:lastColumn="0" w:noHBand="0" w:noVBand="1"/>
      </w:tblPr>
      <w:tblGrid>
        <w:gridCol w:w="2337"/>
        <w:gridCol w:w="2338"/>
        <w:gridCol w:w="4675"/>
      </w:tblGrid>
      <w:tr w:rsidR="00BF5456" w:rsidRPr="00F149DA" w14:paraId="2CFC15FF" w14:textId="77777777" w:rsidTr="00D35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15059DB" w14:textId="77777777" w:rsidR="00BF5456" w:rsidRPr="00F149DA" w:rsidRDefault="00BF5456" w:rsidP="00D35123">
            <w:pPr>
              <w:jc w:val="center"/>
              <w:rPr>
                <w:b w:val="0"/>
              </w:rPr>
            </w:pPr>
            <w:r w:rsidRPr="00F149DA">
              <w:rPr>
                <w:b w:val="0"/>
              </w:rPr>
              <w:t>Assignment</w:t>
            </w:r>
          </w:p>
        </w:tc>
        <w:tc>
          <w:tcPr>
            <w:tcW w:w="2338" w:type="dxa"/>
          </w:tcPr>
          <w:p w14:paraId="7294068A" w14:textId="77777777" w:rsidR="00BF5456" w:rsidRPr="00F149DA" w:rsidRDefault="00BF5456" w:rsidP="00D35123">
            <w:pPr>
              <w:jc w:val="center"/>
              <w:cnfStyle w:val="100000000000" w:firstRow="1" w:lastRow="0" w:firstColumn="0" w:lastColumn="0" w:oddVBand="0" w:evenVBand="0" w:oddHBand="0" w:evenHBand="0" w:firstRowFirstColumn="0" w:firstRowLastColumn="0" w:lastRowFirstColumn="0" w:lastRowLastColumn="0"/>
              <w:rPr>
                <w:b w:val="0"/>
              </w:rPr>
            </w:pPr>
            <w:r w:rsidRPr="00F149DA">
              <w:rPr>
                <w:b w:val="0"/>
              </w:rPr>
              <w:t>Points</w:t>
            </w:r>
          </w:p>
        </w:tc>
        <w:tc>
          <w:tcPr>
            <w:tcW w:w="4675" w:type="dxa"/>
          </w:tcPr>
          <w:p w14:paraId="33CBD01F" w14:textId="77777777" w:rsidR="00BF5456" w:rsidRPr="00F149DA" w:rsidRDefault="00BF5456" w:rsidP="00D35123">
            <w:pPr>
              <w:jc w:val="center"/>
              <w:cnfStyle w:val="100000000000" w:firstRow="1" w:lastRow="0" w:firstColumn="0" w:lastColumn="0" w:oddVBand="0" w:evenVBand="0" w:oddHBand="0" w:evenHBand="0" w:firstRowFirstColumn="0" w:firstRowLastColumn="0" w:lastRowFirstColumn="0" w:lastRowLastColumn="0"/>
              <w:rPr>
                <w:b w:val="0"/>
              </w:rPr>
            </w:pPr>
            <w:r w:rsidRPr="00F149DA">
              <w:rPr>
                <w:b w:val="0"/>
              </w:rPr>
              <w:t>Components (if applicable)</w:t>
            </w:r>
          </w:p>
        </w:tc>
      </w:tr>
      <w:tr w:rsidR="00BF5456" w14:paraId="063D7EE0" w14:textId="77777777" w:rsidTr="00D3512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5DE49E38" w14:textId="77777777" w:rsidR="00BF5456" w:rsidRDefault="00BF5456" w:rsidP="00D35123">
            <w:pPr>
              <w:jc w:val="center"/>
            </w:pPr>
            <w:r>
              <w:t>Quizzes</w:t>
            </w:r>
          </w:p>
        </w:tc>
        <w:tc>
          <w:tcPr>
            <w:tcW w:w="2338" w:type="dxa"/>
            <w:vAlign w:val="center"/>
          </w:tcPr>
          <w:p w14:paraId="2696A83B" w14:textId="77777777" w:rsidR="00BF5456" w:rsidRDefault="00BF5456" w:rsidP="00D35123">
            <w:pPr>
              <w:jc w:val="center"/>
              <w:cnfStyle w:val="000000100000" w:firstRow="0" w:lastRow="0" w:firstColumn="0" w:lastColumn="0" w:oddVBand="0" w:evenVBand="0" w:oddHBand="1" w:evenHBand="0" w:firstRowFirstColumn="0" w:firstRowLastColumn="0" w:lastRowFirstColumn="0" w:lastRowLastColumn="0"/>
            </w:pPr>
            <w:r>
              <w:t>200</w:t>
            </w:r>
          </w:p>
        </w:tc>
        <w:tc>
          <w:tcPr>
            <w:tcW w:w="4675" w:type="dxa"/>
            <w:vAlign w:val="center"/>
          </w:tcPr>
          <w:p w14:paraId="7CC0A9C2" w14:textId="77777777" w:rsidR="00BF5456" w:rsidRDefault="00BF5456" w:rsidP="00D35123">
            <w:pPr>
              <w:jc w:val="center"/>
              <w:cnfStyle w:val="000000100000" w:firstRow="0" w:lastRow="0" w:firstColumn="0" w:lastColumn="0" w:oddVBand="0" w:evenVBand="0" w:oddHBand="1" w:evenHBand="0" w:firstRowFirstColumn="0" w:firstRowLastColumn="0" w:lastRowFirstColumn="0" w:lastRowLastColumn="0"/>
            </w:pPr>
            <w:r>
              <w:t>4 quizzes x 50 points each</w:t>
            </w:r>
          </w:p>
        </w:tc>
      </w:tr>
      <w:tr w:rsidR="00BF5456" w14:paraId="100727C5" w14:textId="77777777" w:rsidTr="00D35123">
        <w:trPr>
          <w:trHeight w:val="576"/>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0039138C" w14:textId="77777777" w:rsidR="00BF5456" w:rsidRDefault="00BF5456" w:rsidP="00D35123">
            <w:pPr>
              <w:jc w:val="center"/>
            </w:pPr>
            <w:r>
              <w:t>Final Exam</w:t>
            </w:r>
          </w:p>
        </w:tc>
        <w:tc>
          <w:tcPr>
            <w:tcW w:w="2338" w:type="dxa"/>
            <w:vAlign w:val="center"/>
          </w:tcPr>
          <w:p w14:paraId="28AF8FDE" w14:textId="77777777" w:rsidR="00BF5456" w:rsidRDefault="00BF5456" w:rsidP="00D35123">
            <w:pPr>
              <w:jc w:val="center"/>
              <w:cnfStyle w:val="000000000000" w:firstRow="0" w:lastRow="0" w:firstColumn="0" w:lastColumn="0" w:oddVBand="0" w:evenVBand="0" w:oddHBand="0" w:evenHBand="0" w:firstRowFirstColumn="0" w:firstRowLastColumn="0" w:lastRowFirstColumn="0" w:lastRowLastColumn="0"/>
            </w:pPr>
            <w:r>
              <w:t>300</w:t>
            </w:r>
          </w:p>
        </w:tc>
        <w:tc>
          <w:tcPr>
            <w:tcW w:w="4675" w:type="dxa"/>
            <w:vAlign w:val="center"/>
          </w:tcPr>
          <w:p w14:paraId="722EFF5B" w14:textId="77777777" w:rsidR="00BF5456" w:rsidRDefault="00BF5456" w:rsidP="00D35123">
            <w:pPr>
              <w:jc w:val="center"/>
              <w:cnfStyle w:val="000000000000" w:firstRow="0" w:lastRow="0" w:firstColumn="0" w:lastColumn="0" w:oddVBand="0" w:evenVBand="0" w:oddHBand="0" w:evenHBand="0" w:firstRowFirstColumn="0" w:firstRowLastColumn="0" w:lastRowFirstColumn="0" w:lastRowLastColumn="0"/>
            </w:pPr>
          </w:p>
        </w:tc>
      </w:tr>
      <w:tr w:rsidR="00BF5456" w14:paraId="4BB8F8F5" w14:textId="77777777" w:rsidTr="00D3512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vMerge w:val="restart"/>
            <w:vAlign w:val="center"/>
          </w:tcPr>
          <w:p w14:paraId="7D8D5EA5" w14:textId="77777777" w:rsidR="00BF5456" w:rsidRDefault="00BF5456" w:rsidP="00D35123">
            <w:pPr>
              <w:jc w:val="center"/>
            </w:pPr>
            <w:r>
              <w:t>Language Research Project</w:t>
            </w:r>
          </w:p>
        </w:tc>
        <w:tc>
          <w:tcPr>
            <w:tcW w:w="2338" w:type="dxa"/>
            <w:vMerge w:val="restart"/>
            <w:vAlign w:val="center"/>
          </w:tcPr>
          <w:p w14:paraId="3374D4FB" w14:textId="77777777" w:rsidR="00BF5456" w:rsidRDefault="00BF5456" w:rsidP="00D35123">
            <w:pPr>
              <w:jc w:val="center"/>
              <w:cnfStyle w:val="000000100000" w:firstRow="0" w:lastRow="0" w:firstColumn="0" w:lastColumn="0" w:oddVBand="0" w:evenVBand="0" w:oddHBand="1" w:evenHBand="0" w:firstRowFirstColumn="0" w:firstRowLastColumn="0" w:lastRowFirstColumn="0" w:lastRowLastColumn="0"/>
            </w:pPr>
            <w:r>
              <w:t>300</w:t>
            </w:r>
          </w:p>
        </w:tc>
        <w:tc>
          <w:tcPr>
            <w:tcW w:w="4675" w:type="dxa"/>
            <w:vAlign w:val="center"/>
          </w:tcPr>
          <w:p w14:paraId="241B7089" w14:textId="58DEE94A" w:rsidR="00BF5456" w:rsidRDefault="005D5AB2" w:rsidP="00D35123">
            <w:pPr>
              <w:jc w:val="center"/>
              <w:cnfStyle w:val="000000100000" w:firstRow="0" w:lastRow="0" w:firstColumn="0" w:lastColumn="0" w:oddVBand="0" w:evenVBand="0" w:oddHBand="1" w:evenHBand="0" w:firstRowFirstColumn="0" w:firstRowLastColumn="0" w:lastRowFirstColumn="0" w:lastRowLastColumn="0"/>
            </w:pPr>
            <w:r>
              <w:t>5 Assignment Drafts x 10 points each</w:t>
            </w:r>
          </w:p>
        </w:tc>
      </w:tr>
      <w:tr w:rsidR="00BF5456" w14:paraId="054CAAA9" w14:textId="77777777" w:rsidTr="00D35123">
        <w:trPr>
          <w:trHeight w:val="576"/>
        </w:trPr>
        <w:tc>
          <w:tcPr>
            <w:cnfStyle w:val="001000000000" w:firstRow="0" w:lastRow="0" w:firstColumn="1" w:lastColumn="0" w:oddVBand="0" w:evenVBand="0" w:oddHBand="0" w:evenHBand="0" w:firstRowFirstColumn="0" w:firstRowLastColumn="0" w:lastRowFirstColumn="0" w:lastRowLastColumn="0"/>
            <w:tcW w:w="2337" w:type="dxa"/>
            <w:vMerge/>
            <w:vAlign w:val="center"/>
          </w:tcPr>
          <w:p w14:paraId="1233A9E5" w14:textId="77777777" w:rsidR="00BF5456" w:rsidRDefault="00BF5456" w:rsidP="00D35123">
            <w:pPr>
              <w:jc w:val="center"/>
            </w:pPr>
          </w:p>
        </w:tc>
        <w:tc>
          <w:tcPr>
            <w:tcW w:w="2338" w:type="dxa"/>
            <w:vMerge/>
            <w:vAlign w:val="center"/>
          </w:tcPr>
          <w:p w14:paraId="63097654" w14:textId="77777777" w:rsidR="00BF5456" w:rsidRDefault="00BF5456" w:rsidP="00D35123">
            <w:pPr>
              <w:jc w:val="center"/>
              <w:cnfStyle w:val="000000000000" w:firstRow="0" w:lastRow="0" w:firstColumn="0" w:lastColumn="0" w:oddVBand="0" w:evenVBand="0" w:oddHBand="0" w:evenHBand="0" w:firstRowFirstColumn="0" w:firstRowLastColumn="0" w:lastRowFirstColumn="0" w:lastRowLastColumn="0"/>
            </w:pPr>
          </w:p>
        </w:tc>
        <w:tc>
          <w:tcPr>
            <w:tcW w:w="4675" w:type="dxa"/>
            <w:shd w:val="clear" w:color="auto" w:fill="D0CECE" w:themeFill="background2" w:themeFillShade="E6"/>
            <w:vAlign w:val="center"/>
          </w:tcPr>
          <w:p w14:paraId="7D0D60EF" w14:textId="77777777" w:rsidR="00BF5456" w:rsidRDefault="00BF5456" w:rsidP="00D35123">
            <w:pPr>
              <w:jc w:val="center"/>
              <w:cnfStyle w:val="000000000000" w:firstRow="0" w:lastRow="0" w:firstColumn="0" w:lastColumn="0" w:oddVBand="0" w:evenVBand="0" w:oddHBand="0" w:evenHBand="0" w:firstRowFirstColumn="0" w:firstRowLastColumn="0" w:lastRowFirstColumn="0" w:lastRowLastColumn="0"/>
            </w:pPr>
            <w:r>
              <w:t>LRP Presentation – 50 points</w:t>
            </w:r>
          </w:p>
        </w:tc>
      </w:tr>
      <w:tr w:rsidR="005D5AB2" w14:paraId="6EBBC473" w14:textId="77777777" w:rsidTr="00D3512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vMerge/>
            <w:vAlign w:val="center"/>
          </w:tcPr>
          <w:p w14:paraId="693BD65B" w14:textId="77777777" w:rsidR="00BF5456" w:rsidRDefault="00BF5456" w:rsidP="00D35123">
            <w:pPr>
              <w:jc w:val="center"/>
            </w:pPr>
          </w:p>
        </w:tc>
        <w:tc>
          <w:tcPr>
            <w:tcW w:w="2338" w:type="dxa"/>
            <w:vMerge/>
            <w:vAlign w:val="center"/>
          </w:tcPr>
          <w:p w14:paraId="379B4D68" w14:textId="77777777" w:rsidR="00BF5456" w:rsidRDefault="00BF5456" w:rsidP="00D35123">
            <w:pPr>
              <w:jc w:val="center"/>
              <w:cnfStyle w:val="000000100000" w:firstRow="0" w:lastRow="0" w:firstColumn="0" w:lastColumn="0" w:oddVBand="0" w:evenVBand="0" w:oddHBand="1" w:evenHBand="0" w:firstRowFirstColumn="0" w:firstRowLastColumn="0" w:lastRowFirstColumn="0" w:lastRowLastColumn="0"/>
            </w:pPr>
          </w:p>
        </w:tc>
        <w:tc>
          <w:tcPr>
            <w:tcW w:w="4675" w:type="dxa"/>
            <w:vAlign w:val="center"/>
          </w:tcPr>
          <w:p w14:paraId="5BF55B48" w14:textId="77777777" w:rsidR="00BF5456" w:rsidRDefault="00BF5456" w:rsidP="00D35123">
            <w:pPr>
              <w:jc w:val="center"/>
              <w:cnfStyle w:val="000000100000" w:firstRow="0" w:lastRow="0" w:firstColumn="0" w:lastColumn="0" w:oddVBand="0" w:evenVBand="0" w:oddHBand="1" w:evenHBand="0" w:firstRowFirstColumn="0" w:firstRowLastColumn="0" w:lastRowFirstColumn="0" w:lastRowLastColumn="0"/>
            </w:pPr>
            <w:r>
              <w:t>LRP Final Draft – 200 points</w:t>
            </w:r>
          </w:p>
        </w:tc>
      </w:tr>
      <w:tr w:rsidR="005D5AB2" w14:paraId="4AA078BF" w14:textId="77777777" w:rsidTr="00D35123">
        <w:trPr>
          <w:trHeight w:val="576"/>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346C742D" w14:textId="77777777" w:rsidR="00BF5456" w:rsidRDefault="00BF5456" w:rsidP="00D35123">
            <w:pPr>
              <w:jc w:val="center"/>
            </w:pPr>
            <w:r>
              <w:t>Problem Sets</w:t>
            </w:r>
          </w:p>
        </w:tc>
        <w:tc>
          <w:tcPr>
            <w:tcW w:w="2338" w:type="dxa"/>
            <w:vAlign w:val="center"/>
          </w:tcPr>
          <w:p w14:paraId="3FB1BAB0" w14:textId="77777777" w:rsidR="00BF5456" w:rsidRDefault="00BF5456" w:rsidP="00D35123">
            <w:pPr>
              <w:jc w:val="center"/>
              <w:cnfStyle w:val="000000000000" w:firstRow="0" w:lastRow="0" w:firstColumn="0" w:lastColumn="0" w:oddVBand="0" w:evenVBand="0" w:oddHBand="0" w:evenHBand="0" w:firstRowFirstColumn="0" w:firstRowLastColumn="0" w:lastRowFirstColumn="0" w:lastRowLastColumn="0"/>
            </w:pPr>
            <w:r>
              <w:t>100</w:t>
            </w:r>
          </w:p>
        </w:tc>
        <w:tc>
          <w:tcPr>
            <w:tcW w:w="4675" w:type="dxa"/>
            <w:vAlign w:val="center"/>
          </w:tcPr>
          <w:p w14:paraId="2053D1B3" w14:textId="65763B74" w:rsidR="00BF5456" w:rsidRDefault="005D5AB2" w:rsidP="00D35123">
            <w:pPr>
              <w:jc w:val="center"/>
              <w:cnfStyle w:val="000000000000" w:firstRow="0" w:lastRow="0" w:firstColumn="0" w:lastColumn="0" w:oddVBand="0" w:evenVBand="0" w:oddHBand="0" w:evenHBand="0" w:firstRowFirstColumn="0" w:firstRowLastColumn="0" w:lastRowFirstColumn="0" w:lastRowLastColumn="0"/>
            </w:pPr>
            <w:r>
              <w:t>4 sets x 25</w:t>
            </w:r>
            <w:r w:rsidR="00BF5456">
              <w:t xml:space="preserve"> points each</w:t>
            </w:r>
          </w:p>
        </w:tc>
      </w:tr>
      <w:tr w:rsidR="005D5AB2" w14:paraId="346665D8" w14:textId="77777777" w:rsidTr="00D3512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0945247C" w14:textId="77777777" w:rsidR="00BF5456" w:rsidRDefault="00BF5456" w:rsidP="00D35123">
            <w:pPr>
              <w:jc w:val="center"/>
            </w:pPr>
            <w:r>
              <w:t>Daily Work and Participation</w:t>
            </w:r>
          </w:p>
        </w:tc>
        <w:tc>
          <w:tcPr>
            <w:tcW w:w="2338" w:type="dxa"/>
            <w:vAlign w:val="center"/>
          </w:tcPr>
          <w:p w14:paraId="3C956E82" w14:textId="77777777" w:rsidR="00BF5456" w:rsidRDefault="00BF5456" w:rsidP="00D35123">
            <w:pPr>
              <w:jc w:val="center"/>
              <w:cnfStyle w:val="000000100000" w:firstRow="0" w:lastRow="0" w:firstColumn="0" w:lastColumn="0" w:oddVBand="0" w:evenVBand="0" w:oddHBand="1" w:evenHBand="0" w:firstRowFirstColumn="0" w:firstRowLastColumn="0" w:lastRowFirstColumn="0" w:lastRowLastColumn="0"/>
            </w:pPr>
            <w:r>
              <w:t>100</w:t>
            </w:r>
          </w:p>
        </w:tc>
        <w:tc>
          <w:tcPr>
            <w:tcW w:w="4675" w:type="dxa"/>
            <w:vAlign w:val="center"/>
          </w:tcPr>
          <w:p w14:paraId="4BBD3350" w14:textId="77777777" w:rsidR="00BF5456" w:rsidRDefault="00BF5456" w:rsidP="00D35123">
            <w:pPr>
              <w:jc w:val="center"/>
              <w:cnfStyle w:val="000000100000" w:firstRow="0" w:lastRow="0" w:firstColumn="0" w:lastColumn="0" w:oddVBand="0" w:evenVBand="0" w:oddHBand="1" w:evenHBand="0" w:firstRowFirstColumn="0" w:firstRowLastColumn="0" w:lastRowFirstColumn="0" w:lastRowLastColumn="0"/>
            </w:pPr>
          </w:p>
        </w:tc>
      </w:tr>
    </w:tbl>
    <w:p w14:paraId="7CC1C931" w14:textId="77777777" w:rsidR="00BF5456" w:rsidRDefault="00BF5456" w:rsidP="00BF5456">
      <w:pPr>
        <w:spacing w:after="0"/>
        <w:contextualSpacing/>
      </w:pPr>
    </w:p>
    <w:p w14:paraId="0B61042E" w14:textId="77777777" w:rsidR="00EA65FA" w:rsidRDefault="00EA65FA" w:rsidP="003F1330">
      <w:pPr>
        <w:spacing w:after="0"/>
        <w:ind w:left="720"/>
        <w:contextualSpacing/>
      </w:pPr>
    </w:p>
    <w:p w14:paraId="36492896" w14:textId="447269FB" w:rsidR="009F7739" w:rsidRPr="003F1330" w:rsidRDefault="009F7739" w:rsidP="003F1330">
      <w:pPr>
        <w:spacing w:after="0"/>
        <w:contextualSpacing/>
        <w:rPr>
          <w:b/>
        </w:rPr>
      </w:pPr>
      <w:r w:rsidRPr="003F1330">
        <w:rPr>
          <w:b/>
        </w:rPr>
        <w:t>Assignment Descriptions</w:t>
      </w:r>
    </w:p>
    <w:p w14:paraId="399D34DB" w14:textId="77777777" w:rsidR="003F1330" w:rsidRDefault="003F1330" w:rsidP="003F1330">
      <w:pPr>
        <w:spacing w:after="0"/>
        <w:contextualSpacing/>
        <w:rPr>
          <w:b/>
        </w:rPr>
      </w:pPr>
    </w:p>
    <w:p w14:paraId="6E39E62A" w14:textId="356EF14A" w:rsidR="006D2C6E" w:rsidRDefault="006D2C6E" w:rsidP="006D2C6E">
      <w:pPr>
        <w:spacing w:after="0"/>
        <w:ind w:left="720"/>
        <w:contextualSpacing/>
      </w:pPr>
      <w:r>
        <w:rPr>
          <w:b/>
        </w:rPr>
        <w:t>Quizzes</w:t>
      </w:r>
      <w:r w:rsidR="00C6589D">
        <w:t xml:space="preserve"> </w:t>
      </w:r>
      <w:r>
        <w:t>will be given at the end of each major unit; there are 4 ove</w:t>
      </w:r>
      <w:r w:rsidR="003720A6">
        <w:t>rall. Quizzes are comprehensive, and are largely (though not necessarily entirely) based on the problem sets.</w:t>
      </w:r>
    </w:p>
    <w:p w14:paraId="0DB350A0" w14:textId="77777777" w:rsidR="00EA65FA" w:rsidRDefault="00EA65FA" w:rsidP="006D2C6E">
      <w:pPr>
        <w:spacing w:after="0"/>
        <w:ind w:left="720"/>
        <w:contextualSpacing/>
      </w:pPr>
    </w:p>
    <w:p w14:paraId="791254A7" w14:textId="77777777" w:rsidR="00EA65FA" w:rsidRDefault="00EA65FA" w:rsidP="00EA65FA">
      <w:pPr>
        <w:spacing w:after="0"/>
        <w:ind w:left="720"/>
        <w:contextualSpacing/>
      </w:pPr>
      <w:r>
        <w:t xml:space="preserve">The </w:t>
      </w:r>
      <w:r>
        <w:rPr>
          <w:b/>
        </w:rPr>
        <w:t>Final Exam</w:t>
      </w:r>
      <w:r>
        <w:t xml:space="preserve"> will be comprehensive, i.e., will ask you to answer questions related to all aspects of the course content. The Final Exam will be given during Exam week at the end of the semester.</w:t>
      </w:r>
    </w:p>
    <w:p w14:paraId="3328BD61" w14:textId="77777777" w:rsidR="00EA65FA" w:rsidRDefault="00EA65FA" w:rsidP="006D2C6E">
      <w:pPr>
        <w:spacing w:after="0"/>
        <w:ind w:left="720"/>
        <w:contextualSpacing/>
      </w:pPr>
    </w:p>
    <w:p w14:paraId="27BEA843" w14:textId="1AA3FF62" w:rsidR="00611E05" w:rsidRDefault="00BF5456" w:rsidP="006D2C6E">
      <w:pPr>
        <w:spacing w:after="0"/>
        <w:ind w:left="720"/>
        <w:contextualSpacing/>
      </w:pPr>
      <w:r>
        <w:rPr>
          <w:b/>
        </w:rPr>
        <w:lastRenderedPageBreak/>
        <w:t>The Language Research Project</w:t>
      </w:r>
      <w:r>
        <w:t xml:space="preserve"> asks you to choose a particular grammatical feature and research/write about it in detail. </w:t>
      </w:r>
      <w:r w:rsidR="005D5AB2">
        <w:t xml:space="preserve">You will work on this project throughout the semester. You will write four parts individually (LRP A-D) and receive feedback from me. These should then be revised and combined into the First Full Draft, to which you will add one additional component (LRP E). You will then revise the first full draft and submit a Final Draft will all components combined in a </w:t>
      </w:r>
      <w:r>
        <w:t xml:space="preserve">professionally designed document with a table of contents, page numbers, bibliography, etc. </w:t>
      </w:r>
    </w:p>
    <w:p w14:paraId="23AC3847" w14:textId="77777777" w:rsidR="00611E05" w:rsidRDefault="00611E05" w:rsidP="006D2C6E">
      <w:pPr>
        <w:spacing w:after="0"/>
        <w:ind w:left="720"/>
        <w:contextualSpacing/>
      </w:pPr>
    </w:p>
    <w:p w14:paraId="4908AAA8" w14:textId="6D575ABB" w:rsidR="00BF5456" w:rsidRPr="00BF5456" w:rsidRDefault="005D5AB2" w:rsidP="006D2C6E">
      <w:pPr>
        <w:spacing w:after="0"/>
        <w:ind w:left="720"/>
        <w:contextualSpacing/>
      </w:pPr>
      <w:r>
        <w:t>LRP A-D and the First Full Draft are each worth 10 points, for a total of 50 points. These documents are all completion grades, meaning that as long as you make a good-faith effort you will receive the full points</w:t>
      </w:r>
      <w:r w:rsidR="00611E05">
        <w:t xml:space="preserve">. The </w:t>
      </w:r>
      <w:r w:rsidR="00611E05" w:rsidRPr="00611E05">
        <w:rPr>
          <w:b/>
        </w:rPr>
        <w:t>Presentation</w:t>
      </w:r>
      <w:r w:rsidR="00611E05">
        <w:t xml:space="preserve"> is worth 50 points as well, and the Final Draft 200. Your grade on the </w:t>
      </w:r>
      <w:r w:rsidR="00611E05" w:rsidRPr="00611E05">
        <w:rPr>
          <w:b/>
        </w:rPr>
        <w:t>Final Draft</w:t>
      </w:r>
      <w:r w:rsidR="00611E05">
        <w:t xml:space="preserve"> will be largely based on how well you have revised in response to feedback, in addition to overall quality and depth of thought, and of course correctness of grammar (this is a grammar class, after all!). </w:t>
      </w:r>
      <w:r w:rsidR="003720A6">
        <w:t>More information will be given on the Language Research Project later in the semester.</w:t>
      </w:r>
    </w:p>
    <w:p w14:paraId="6C87BE9A" w14:textId="77777777" w:rsidR="00BF5456" w:rsidRDefault="00BF5456" w:rsidP="006D2C6E">
      <w:pPr>
        <w:spacing w:after="0"/>
        <w:ind w:left="720"/>
        <w:contextualSpacing/>
        <w:rPr>
          <w:b/>
        </w:rPr>
      </w:pPr>
    </w:p>
    <w:p w14:paraId="3E00CDBC" w14:textId="72C9D421" w:rsidR="00EA65FA" w:rsidRPr="003720A6" w:rsidRDefault="00EA65FA" w:rsidP="006D2C6E">
      <w:pPr>
        <w:spacing w:after="0"/>
        <w:ind w:left="720"/>
        <w:contextualSpacing/>
      </w:pPr>
      <w:r>
        <w:rPr>
          <w:b/>
        </w:rPr>
        <w:t>Problem Sets</w:t>
      </w:r>
      <w:r>
        <w:t xml:space="preserve"> are homework questions about concepts discussed in-class. You may work with others on Problem Sets, but you must list all names of peers with whom you worked.</w:t>
      </w:r>
      <w:r w:rsidR="003720A6">
        <w:t xml:space="preserve"> Problem Sets are </w:t>
      </w:r>
      <w:r w:rsidR="003720A6">
        <w:rPr>
          <w:b/>
        </w:rPr>
        <w:t>completion grades</w:t>
      </w:r>
      <w:r w:rsidR="003720A6">
        <w:t xml:space="preserve">; as long as you attempt every question, you will receive full credit. Bear in mind, however, that quizzes are heavily based on the problem sets, and so failing to do the work to complete a problem set on your own, or neglecting them entirely, </w:t>
      </w:r>
      <w:r w:rsidR="003720A6">
        <w:rPr>
          <w:i/>
        </w:rPr>
        <w:t>will</w:t>
      </w:r>
      <w:r w:rsidR="003720A6">
        <w:t xml:space="preserve"> negatively impact your grade in this course.</w:t>
      </w:r>
    </w:p>
    <w:p w14:paraId="4F468F24" w14:textId="77777777" w:rsidR="00EA65FA" w:rsidRDefault="00EA65FA" w:rsidP="006D2C6E">
      <w:pPr>
        <w:spacing w:after="0"/>
        <w:ind w:left="720"/>
        <w:contextualSpacing/>
      </w:pPr>
    </w:p>
    <w:p w14:paraId="60EE374F" w14:textId="421658A3" w:rsidR="00EA65FA" w:rsidRDefault="00EA65FA" w:rsidP="006D2C6E">
      <w:pPr>
        <w:spacing w:after="0"/>
        <w:ind w:left="720"/>
        <w:contextualSpacing/>
      </w:pPr>
      <w:r>
        <w:rPr>
          <w:b/>
        </w:rPr>
        <w:t>Participation</w:t>
      </w:r>
      <w:r>
        <w:t xml:space="preserve"> includes Daily Diagrams, along with any other work completed in-class. I reserve the right to count or not count any work done in class as a participation grade. Note: Participation will also include Summary/Response assignments.</w:t>
      </w:r>
    </w:p>
    <w:p w14:paraId="0A7EE90B" w14:textId="77777777" w:rsidR="006D2C6E" w:rsidRDefault="006D2C6E" w:rsidP="006D2C6E">
      <w:pPr>
        <w:spacing w:after="0"/>
        <w:ind w:left="720"/>
        <w:contextualSpacing/>
      </w:pPr>
    </w:p>
    <w:p w14:paraId="5B920FDA" w14:textId="4E8E47BD" w:rsidR="004A0856" w:rsidRDefault="004E1FA9" w:rsidP="003F1330">
      <w:pPr>
        <w:spacing w:after="0"/>
        <w:contextualSpacing/>
        <w:rPr>
          <w:b/>
        </w:rPr>
      </w:pPr>
      <w:r w:rsidRPr="003F1330">
        <w:rPr>
          <w:b/>
        </w:rPr>
        <w:t>Attendance</w:t>
      </w:r>
    </w:p>
    <w:p w14:paraId="6B1B2605" w14:textId="77777777" w:rsidR="003F1330" w:rsidRPr="003F1330" w:rsidRDefault="003F1330" w:rsidP="003F1330">
      <w:pPr>
        <w:spacing w:after="0"/>
        <w:contextualSpacing/>
        <w:rPr>
          <w:b/>
        </w:rPr>
      </w:pPr>
    </w:p>
    <w:p w14:paraId="2179801E" w14:textId="77777777" w:rsidR="003F1330" w:rsidRDefault="004E1FA9" w:rsidP="003F1330">
      <w:pPr>
        <w:spacing w:after="0"/>
        <w:ind w:left="720"/>
        <w:contextualSpacing/>
      </w:pPr>
      <w:r w:rsidRPr="003F1330">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t>
      </w:r>
      <w:r w:rsidRPr="003F1330">
        <w:rPr>
          <w:b/>
        </w:rPr>
        <w:t>I will take attendance, but will not factor attendance into the grade</w:t>
      </w:r>
      <w:r w:rsidRPr="003F1330">
        <w:t xml:space="preserve">. </w:t>
      </w:r>
    </w:p>
    <w:p w14:paraId="7997BF73" w14:textId="77777777" w:rsidR="003F1330" w:rsidRDefault="003F1330" w:rsidP="003F1330">
      <w:pPr>
        <w:spacing w:after="0"/>
        <w:ind w:left="720"/>
        <w:contextualSpacing/>
      </w:pPr>
    </w:p>
    <w:p w14:paraId="4EE5522C" w14:textId="4D34B1D9" w:rsidR="004E1FA9" w:rsidRDefault="004E1FA9" w:rsidP="003F1330">
      <w:pPr>
        <w:spacing w:after="0"/>
        <w:ind w:left="720"/>
        <w:contextualSpacing/>
      </w:pPr>
      <w:r w:rsidRPr="003F1330">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4D989504" w14:textId="77777777" w:rsidR="003F1330" w:rsidRDefault="003F1330" w:rsidP="003F1330">
      <w:pPr>
        <w:spacing w:after="0"/>
        <w:contextualSpacing/>
      </w:pPr>
    </w:p>
    <w:p w14:paraId="2A5C1CA1" w14:textId="510F7CA9" w:rsidR="00611E05" w:rsidRDefault="00611E05" w:rsidP="003F1330">
      <w:pPr>
        <w:spacing w:after="0"/>
        <w:contextualSpacing/>
        <w:rPr>
          <w:b/>
        </w:rPr>
      </w:pPr>
      <w:r>
        <w:rPr>
          <w:b/>
        </w:rPr>
        <w:lastRenderedPageBreak/>
        <w:t>Turning in Work</w:t>
      </w:r>
    </w:p>
    <w:p w14:paraId="192F9262" w14:textId="77777777" w:rsidR="00611E05" w:rsidRDefault="00611E05" w:rsidP="003F1330">
      <w:pPr>
        <w:spacing w:after="0"/>
        <w:contextualSpacing/>
        <w:rPr>
          <w:b/>
        </w:rPr>
      </w:pPr>
    </w:p>
    <w:p w14:paraId="5A2E4F09" w14:textId="6BE315D0" w:rsidR="00611E05" w:rsidRDefault="00611E05" w:rsidP="005D6D1E">
      <w:pPr>
        <w:spacing w:after="0"/>
        <w:ind w:left="720"/>
        <w:contextualSpacing/>
      </w:pPr>
      <w:r>
        <w:t xml:space="preserve">Components of the Language Research Project will usually be turned in via Blackboard. Any assignments turned in on Blackboard must be submitted by no later than </w:t>
      </w:r>
      <w:r w:rsidRPr="00611E05">
        <w:rPr>
          <w:u w:val="single"/>
        </w:rPr>
        <w:t>one half hour before the beginning of class</w:t>
      </w:r>
      <w:r>
        <w:t>. If there are any issues with submission, you must let me know BEFORE the deadline. For this reason, you are highly encouraged to submit your work well in advance of deadlines.</w:t>
      </w:r>
    </w:p>
    <w:p w14:paraId="3B37EF46" w14:textId="77777777" w:rsidR="00611E05" w:rsidRDefault="00611E05" w:rsidP="005D6D1E">
      <w:pPr>
        <w:spacing w:after="0"/>
        <w:ind w:left="720"/>
        <w:contextualSpacing/>
      </w:pPr>
    </w:p>
    <w:p w14:paraId="01C8AE0C" w14:textId="64020B35" w:rsidR="00611E05" w:rsidRPr="00611E05" w:rsidRDefault="00611E05" w:rsidP="005D6D1E">
      <w:pPr>
        <w:spacing w:after="0"/>
        <w:ind w:left="720"/>
        <w:contextualSpacing/>
      </w:pPr>
      <w:r>
        <w:t>Problem Sets, on the other hand, will typically be printed and brought to class on the day they are due. Problem Sets can be hand-written; any other assignments</w:t>
      </w:r>
      <w:r w:rsidR="005D6D1E">
        <w:t xml:space="preserve"> </w:t>
      </w:r>
      <w:r>
        <w:t xml:space="preserve">brought to class </w:t>
      </w:r>
      <w:r w:rsidR="005D6D1E">
        <w:t xml:space="preserve">(i.e., the summary responses) </w:t>
      </w:r>
      <w:r>
        <w:t>should be typed and printed. You must be in class on time to receive credit f</w:t>
      </w:r>
      <w:r w:rsidR="005D6D1E">
        <w:t>or Problem Sets. If you are more than five minutes late to class on a day that Problem Sets are due, I reserve the right to not accept your work.</w:t>
      </w:r>
    </w:p>
    <w:p w14:paraId="2AC315FF" w14:textId="77777777" w:rsidR="00611E05" w:rsidRDefault="00611E05" w:rsidP="003F1330">
      <w:pPr>
        <w:spacing w:after="0"/>
        <w:contextualSpacing/>
        <w:rPr>
          <w:b/>
        </w:rPr>
      </w:pPr>
    </w:p>
    <w:p w14:paraId="71998634" w14:textId="5BA26419" w:rsidR="003F1330" w:rsidRPr="003F1330" w:rsidRDefault="003F1330" w:rsidP="003F1330">
      <w:pPr>
        <w:spacing w:after="0"/>
        <w:contextualSpacing/>
        <w:rPr>
          <w:b/>
        </w:rPr>
      </w:pPr>
      <w:r w:rsidRPr="003F1330">
        <w:rPr>
          <w:b/>
        </w:rPr>
        <w:t>Late Work</w:t>
      </w:r>
    </w:p>
    <w:p w14:paraId="46023D99" w14:textId="77777777" w:rsidR="003F1330" w:rsidRDefault="003F1330" w:rsidP="003F1330">
      <w:pPr>
        <w:spacing w:after="0"/>
        <w:contextualSpacing/>
      </w:pPr>
    </w:p>
    <w:p w14:paraId="368598B6" w14:textId="0771E71E" w:rsidR="003F1330" w:rsidRPr="003F1330" w:rsidRDefault="003F1330" w:rsidP="003F1330">
      <w:pPr>
        <w:spacing w:after="0"/>
        <w:ind w:left="720"/>
        <w:contextualSpacing/>
      </w:pPr>
      <w:r w:rsidRPr="003F1330">
        <w:t xml:space="preserve">In general, late work is not accepted. This is true regardless of the reason for its lateness. </w:t>
      </w:r>
      <w:r w:rsidR="006D2C6E">
        <w:rPr>
          <w:b/>
        </w:rPr>
        <w:t>Assignments must be submitted onto Blackboard by the due date</w:t>
      </w:r>
      <w:r w:rsidRPr="003F1330">
        <w:t>.</w:t>
      </w:r>
      <w:r>
        <w:t xml:space="preserve"> The only exception is in the case of University-excused absences.</w:t>
      </w:r>
    </w:p>
    <w:p w14:paraId="1EC807FD" w14:textId="77777777" w:rsidR="004142DA" w:rsidRPr="003F1330" w:rsidRDefault="004142DA" w:rsidP="003F1330">
      <w:pPr>
        <w:spacing w:after="0"/>
        <w:contextualSpacing/>
      </w:pPr>
    </w:p>
    <w:p w14:paraId="5DF4577B" w14:textId="55895A65" w:rsidR="004E1FA9" w:rsidRPr="003F1330" w:rsidRDefault="004E1FA9" w:rsidP="003F1330">
      <w:pPr>
        <w:spacing w:after="0"/>
        <w:contextualSpacing/>
        <w:rPr>
          <w:rFonts w:cs="Arial"/>
          <w:b/>
        </w:rPr>
      </w:pPr>
      <w:r w:rsidRPr="003F1330">
        <w:rPr>
          <w:rFonts w:cs="Arial"/>
          <w:b/>
        </w:rPr>
        <w:t>Expectations for Out-of-Class Study</w:t>
      </w:r>
    </w:p>
    <w:p w14:paraId="73956E0C" w14:textId="77777777" w:rsidR="003F1330" w:rsidRPr="003F1330" w:rsidRDefault="003F1330" w:rsidP="003F1330">
      <w:pPr>
        <w:spacing w:after="0"/>
        <w:contextualSpacing/>
        <w:rPr>
          <w:rFonts w:cs="Arial"/>
        </w:rPr>
      </w:pPr>
    </w:p>
    <w:p w14:paraId="5836101A" w14:textId="25F32CBE" w:rsidR="004E1FA9" w:rsidRPr="003F1330" w:rsidRDefault="004E1FA9" w:rsidP="003F1330">
      <w:pPr>
        <w:spacing w:after="0"/>
        <w:ind w:left="720"/>
        <w:contextualSpacing/>
        <w:rPr>
          <w:rFonts w:cs="Arial"/>
        </w:rPr>
      </w:pPr>
      <w:r w:rsidRPr="003F1330">
        <w:rPr>
          <w:rFonts w:cs="Arial"/>
        </w:rPr>
        <w:t xml:space="preserve">Beyond the time required to attend each class meeting, students enrolled in this course should expect to spend at least an additional </w:t>
      </w:r>
      <w:r w:rsidRPr="003F1330">
        <w:rPr>
          <w:rFonts w:cs="Arial"/>
          <w:u w:val="single"/>
        </w:rPr>
        <w:t>9</w:t>
      </w:r>
      <w:r w:rsidRPr="003F1330">
        <w:rPr>
          <w:rFonts w:cs="Arial"/>
        </w:rPr>
        <w:t xml:space="preserve"> hours per week of their own time in course-related activities, including reading required materials, completing assignments, preparing for exams, etc. </w:t>
      </w:r>
    </w:p>
    <w:p w14:paraId="46ABA604" w14:textId="77777777" w:rsidR="003F1330" w:rsidRPr="003F1330" w:rsidRDefault="003F1330" w:rsidP="003F1330">
      <w:pPr>
        <w:spacing w:after="0"/>
        <w:contextualSpacing/>
        <w:rPr>
          <w:rFonts w:cs="Arial"/>
        </w:rPr>
      </w:pPr>
    </w:p>
    <w:p w14:paraId="3DC90DB3" w14:textId="527BE363" w:rsidR="004E1FA9" w:rsidRPr="003F1330" w:rsidRDefault="004E1FA9" w:rsidP="003F1330">
      <w:pPr>
        <w:spacing w:after="0"/>
        <w:contextualSpacing/>
        <w:rPr>
          <w:rFonts w:cs="Arial"/>
          <w:b/>
        </w:rPr>
      </w:pPr>
      <w:r w:rsidRPr="003F1330">
        <w:rPr>
          <w:rFonts w:cs="Arial"/>
          <w:b/>
        </w:rPr>
        <w:t>Grade Grievances</w:t>
      </w:r>
    </w:p>
    <w:p w14:paraId="420CB168" w14:textId="77777777" w:rsidR="003F1330" w:rsidRPr="003F1330" w:rsidRDefault="003F1330" w:rsidP="003F1330">
      <w:pPr>
        <w:spacing w:after="0"/>
        <w:contextualSpacing/>
        <w:rPr>
          <w:rFonts w:cs="Arial"/>
        </w:rPr>
      </w:pPr>
    </w:p>
    <w:p w14:paraId="0BEE90FC" w14:textId="2C8224C8" w:rsidR="004E1FA9" w:rsidRPr="003F1330" w:rsidRDefault="004E1FA9" w:rsidP="003F1330">
      <w:pPr>
        <w:spacing w:after="0"/>
        <w:ind w:left="720"/>
        <w:contextualSpacing/>
        <w:rPr>
          <w:rFonts w:cs="Arial"/>
        </w:rPr>
      </w:pPr>
      <w:r w:rsidRPr="003F1330">
        <w:rPr>
          <w:rFonts w:cs="Arial"/>
        </w:rPr>
        <w:t xml:space="preserve">Any appeal of a grade in this course must follow the procedures and deadlines for grade-related grievances as published in the current University Catalog. You can find more information about grade grievances here: </w:t>
      </w:r>
      <w:hyperlink r:id="rId10" w:anchor="undergraduatetext" w:history="1">
        <w:r w:rsidRPr="003F1330">
          <w:rPr>
            <w:rStyle w:val="Hyperlink"/>
            <w:rFonts w:cs="Arial"/>
            <w:color w:val="auto"/>
          </w:rPr>
          <w:t>http://catalog.uta.edu/academicregulations/grades/#undergraduatetext</w:t>
        </w:r>
      </w:hyperlink>
      <w:r w:rsidRPr="003F1330">
        <w:rPr>
          <w:rFonts w:cs="Arial"/>
        </w:rPr>
        <w:t>.</w:t>
      </w:r>
    </w:p>
    <w:p w14:paraId="41C5B127" w14:textId="77777777" w:rsidR="007C40FD" w:rsidRDefault="007C40FD" w:rsidP="003F1330">
      <w:pPr>
        <w:pStyle w:val="NormalWeb"/>
        <w:spacing w:before="0" w:beforeAutospacing="0" w:after="0" w:afterAutospacing="0"/>
        <w:contextualSpacing/>
        <w:rPr>
          <w:rFonts w:asciiTheme="minorHAnsi" w:hAnsiTheme="minorHAnsi" w:cs="Arial"/>
          <w:b/>
          <w:sz w:val="22"/>
          <w:szCs w:val="22"/>
        </w:rPr>
      </w:pPr>
    </w:p>
    <w:p w14:paraId="1D4C1B8D" w14:textId="77777777" w:rsidR="00C33418" w:rsidRDefault="00C33418" w:rsidP="003F1330">
      <w:pPr>
        <w:pStyle w:val="NormalWeb"/>
        <w:spacing w:before="0" w:beforeAutospacing="0" w:after="0" w:afterAutospacing="0"/>
        <w:contextualSpacing/>
        <w:rPr>
          <w:rFonts w:asciiTheme="minorHAnsi" w:hAnsiTheme="minorHAnsi" w:cs="Arial"/>
          <w:b/>
          <w:sz w:val="22"/>
          <w:szCs w:val="22"/>
        </w:rPr>
      </w:pPr>
    </w:p>
    <w:p w14:paraId="17C9D677" w14:textId="3613E8B1" w:rsidR="004E1FA9" w:rsidRPr="003F1330" w:rsidRDefault="004E1FA9" w:rsidP="003F1330">
      <w:pPr>
        <w:pStyle w:val="NormalWeb"/>
        <w:spacing w:before="0" w:beforeAutospacing="0" w:after="0" w:afterAutospacing="0"/>
        <w:contextualSpacing/>
        <w:rPr>
          <w:rFonts w:asciiTheme="minorHAnsi" w:hAnsiTheme="minorHAnsi" w:cs="Arial"/>
          <w:b/>
          <w:sz w:val="22"/>
          <w:szCs w:val="22"/>
        </w:rPr>
      </w:pPr>
      <w:r w:rsidRPr="003F1330">
        <w:rPr>
          <w:rFonts w:asciiTheme="minorHAnsi" w:hAnsiTheme="minorHAnsi" w:cs="Arial"/>
          <w:b/>
          <w:sz w:val="22"/>
          <w:szCs w:val="22"/>
        </w:rPr>
        <w:t>Drop Policy</w:t>
      </w:r>
    </w:p>
    <w:p w14:paraId="34D28C6B" w14:textId="77777777" w:rsidR="004E1FA9" w:rsidRPr="003F1330" w:rsidRDefault="004E1FA9" w:rsidP="003F1330">
      <w:pPr>
        <w:pStyle w:val="NormalWeb"/>
        <w:spacing w:before="0" w:beforeAutospacing="0" w:after="0" w:afterAutospacing="0"/>
        <w:contextualSpacing/>
        <w:rPr>
          <w:rFonts w:asciiTheme="minorHAnsi" w:hAnsiTheme="minorHAnsi" w:cs="Arial"/>
          <w:b/>
          <w:sz w:val="22"/>
          <w:szCs w:val="22"/>
        </w:rPr>
      </w:pPr>
    </w:p>
    <w:p w14:paraId="5A3CC393" w14:textId="3535437C" w:rsidR="004E1FA9" w:rsidRDefault="004E1FA9" w:rsidP="003F1330">
      <w:pPr>
        <w:pStyle w:val="NormalWeb"/>
        <w:spacing w:before="0" w:beforeAutospacing="0" w:after="0" w:afterAutospacing="0"/>
        <w:ind w:left="720"/>
        <w:contextualSpacing/>
        <w:rPr>
          <w:rFonts w:asciiTheme="minorHAnsi" w:hAnsiTheme="minorHAnsi" w:cs="Arial"/>
          <w:sz w:val="22"/>
          <w:szCs w:val="22"/>
        </w:rPr>
      </w:pPr>
      <w:r w:rsidRPr="003F1330">
        <w:rPr>
          <w:rFonts w:asciiTheme="minorHAnsi" w:hAnsiTheme="minorHAnsi" w:cs="Arial"/>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F1330">
        <w:rPr>
          <w:rStyle w:val="Strong"/>
          <w:rFonts w:asciiTheme="minorHAnsi" w:hAnsiTheme="minorHAnsi" w:cs="Arial"/>
          <w:sz w:val="22"/>
          <w:szCs w:val="22"/>
        </w:rPr>
        <w:t>Students will not be automatically dropped for non-attendance</w:t>
      </w:r>
      <w:r w:rsidRPr="003F1330">
        <w:rPr>
          <w:rFonts w:asciiTheme="minorHAnsi" w:hAnsiTheme="minorHAnsi" w:cs="Arial"/>
          <w:sz w:val="22"/>
          <w:szCs w:val="22"/>
        </w:rPr>
        <w:t xml:space="preserve">. Repayment of certain types of financial aid administered through the University may be required as the result of dropping </w:t>
      </w:r>
      <w:r w:rsidRPr="003F1330">
        <w:rPr>
          <w:rFonts w:asciiTheme="minorHAnsi" w:hAnsiTheme="minorHAnsi" w:cs="Arial"/>
          <w:sz w:val="22"/>
          <w:szCs w:val="22"/>
        </w:rPr>
        <w:lastRenderedPageBreak/>
        <w:t>classes or withdrawing. For more information, contact the Office of Financial Aid and Scholarships (</w:t>
      </w:r>
      <w:hyperlink r:id="rId11" w:history="1">
        <w:r w:rsidRPr="003F1330">
          <w:rPr>
            <w:rStyle w:val="Hyperlink"/>
            <w:rFonts w:asciiTheme="minorHAnsi" w:hAnsiTheme="minorHAnsi" w:cs="Arial"/>
            <w:sz w:val="22"/>
            <w:szCs w:val="22"/>
          </w:rPr>
          <w:t>http://wweb.uta.edu/aao/fao/</w:t>
        </w:r>
      </w:hyperlink>
      <w:r w:rsidRPr="003F1330">
        <w:rPr>
          <w:rFonts w:asciiTheme="minorHAnsi" w:hAnsiTheme="minorHAnsi" w:cs="Arial"/>
          <w:sz w:val="22"/>
          <w:szCs w:val="22"/>
        </w:rPr>
        <w:t>).</w:t>
      </w:r>
    </w:p>
    <w:p w14:paraId="58168B7B" w14:textId="77777777" w:rsidR="00611E05" w:rsidRDefault="00611E05" w:rsidP="003F1330">
      <w:pPr>
        <w:pStyle w:val="NormalWeb"/>
        <w:spacing w:before="0" w:beforeAutospacing="0" w:after="0" w:afterAutospacing="0"/>
        <w:ind w:left="720"/>
        <w:contextualSpacing/>
        <w:rPr>
          <w:rFonts w:asciiTheme="minorHAnsi" w:hAnsiTheme="minorHAnsi" w:cs="Arial"/>
          <w:sz w:val="22"/>
          <w:szCs w:val="22"/>
        </w:rPr>
      </w:pPr>
    </w:p>
    <w:p w14:paraId="63FEC98F" w14:textId="7831FEF0" w:rsidR="004E1FA9" w:rsidRDefault="004E1FA9" w:rsidP="003F1330">
      <w:pPr>
        <w:spacing w:after="0"/>
        <w:contextualSpacing/>
        <w:rPr>
          <w:rFonts w:cs="Arial"/>
          <w:b/>
          <w:bCs/>
        </w:rPr>
      </w:pPr>
      <w:r w:rsidRPr="003F1330">
        <w:rPr>
          <w:rFonts w:cs="Arial"/>
          <w:b/>
          <w:bCs/>
        </w:rPr>
        <w:t>Disability Accommodations</w:t>
      </w:r>
    </w:p>
    <w:p w14:paraId="310E2F28" w14:textId="77777777" w:rsidR="003F1330" w:rsidRPr="003F1330" w:rsidRDefault="003F1330" w:rsidP="003F1330">
      <w:pPr>
        <w:spacing w:after="0"/>
        <w:contextualSpacing/>
        <w:rPr>
          <w:rFonts w:cs="Arial"/>
          <w:b/>
          <w:bCs/>
        </w:rPr>
      </w:pPr>
    </w:p>
    <w:p w14:paraId="307971EB" w14:textId="77777777" w:rsidR="003F1330" w:rsidRDefault="004E1FA9" w:rsidP="003F1330">
      <w:pPr>
        <w:spacing w:after="0"/>
        <w:ind w:left="720"/>
        <w:contextualSpacing/>
        <w:rPr>
          <w:rFonts w:cs="Arial"/>
        </w:rPr>
      </w:pPr>
      <w:r w:rsidRPr="003F1330">
        <w:rPr>
          <w:rFonts w:cs="Arial"/>
        </w:rPr>
        <w:t>UT</w:t>
      </w:r>
      <w:r w:rsidRPr="003F1330">
        <w:rPr>
          <w:rFonts w:cs="Arial"/>
          <w:b/>
        </w:rPr>
        <w:t xml:space="preserve"> </w:t>
      </w:r>
      <w:r w:rsidRPr="003F1330">
        <w:rPr>
          <w:rFonts w:cs="Arial"/>
        </w:rPr>
        <w:t xml:space="preserve">Arlington is on record as being committed to both the spirit and letter of all federal equal opportunity legislation, including </w:t>
      </w:r>
      <w:r w:rsidRPr="003F1330">
        <w:rPr>
          <w:rFonts w:cs="Arial"/>
          <w:i/>
        </w:rPr>
        <w:t xml:space="preserve">The Americans with Disabilities Act (ADA), The Americans with Disabilities Amendments Act (ADAAA), </w:t>
      </w:r>
      <w:r w:rsidRPr="003F1330">
        <w:rPr>
          <w:rFonts w:cs="Arial"/>
        </w:rPr>
        <w:t xml:space="preserve">and </w:t>
      </w:r>
      <w:r w:rsidRPr="003F1330">
        <w:rPr>
          <w:rFonts w:cs="Arial"/>
          <w:i/>
        </w:rPr>
        <w:t xml:space="preserve">Section 504 of the Rehabilitation Act. </w:t>
      </w:r>
      <w:r w:rsidRPr="003F1330">
        <w:rPr>
          <w:rFonts w:cs="Arial"/>
        </w:rPr>
        <w:t xml:space="preserve">All instructors at UT Arlington are required by law to provide “reasonable accommodations” to students with disabilities, so as not to discriminate on the basis of disability. </w:t>
      </w:r>
    </w:p>
    <w:p w14:paraId="255369BB" w14:textId="77777777" w:rsidR="003F1330" w:rsidRDefault="003F1330" w:rsidP="003F1330">
      <w:pPr>
        <w:spacing w:after="0"/>
        <w:ind w:left="720"/>
        <w:contextualSpacing/>
        <w:rPr>
          <w:rFonts w:cs="Arial"/>
        </w:rPr>
      </w:pPr>
    </w:p>
    <w:p w14:paraId="4F156564" w14:textId="3E14216F" w:rsidR="004E1FA9" w:rsidRDefault="004E1FA9" w:rsidP="003F1330">
      <w:pPr>
        <w:spacing w:after="0"/>
        <w:ind w:left="720"/>
        <w:contextualSpacing/>
        <w:rPr>
          <w:rStyle w:val="Hyperlink"/>
          <w:rFonts w:cs="Arial"/>
        </w:rPr>
      </w:pPr>
      <w:r w:rsidRPr="003F1330">
        <w:rPr>
          <w:rFonts w:cs="Arial"/>
        </w:rPr>
        <w:t xml:space="preserve">Students are responsible for providing the instructor with official notification in the form of </w:t>
      </w:r>
      <w:r w:rsidRPr="003F1330">
        <w:rPr>
          <w:rFonts w:cs="Arial"/>
          <w:b/>
        </w:rPr>
        <w:t>a letter certified</w:t>
      </w:r>
      <w:r w:rsidRPr="003F1330">
        <w:rPr>
          <w:rFonts w:cs="Arial"/>
        </w:rPr>
        <w:t xml:space="preserve"> by the Office for Students with Disabilities (OSD).</w:t>
      </w:r>
      <w:r w:rsidRPr="003F1330">
        <w:rPr>
          <w:rFonts w:cs="Arial"/>
          <w:b/>
          <w:u w:val="single"/>
        </w:rPr>
        <w:t xml:space="preserve"> </w:t>
      </w:r>
      <w:r w:rsidRPr="003F1330">
        <w:rPr>
          <w:rFonts w:cs="Arial"/>
          <w:b/>
        </w:rPr>
        <w:t xml:space="preserve"> </w:t>
      </w:r>
      <w:r w:rsidRPr="003F1330">
        <w:rPr>
          <w:rFonts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3F1330">
        <w:rPr>
          <w:rFonts w:cs="Arial"/>
          <w:b/>
        </w:rPr>
        <w:t>The Office for Students with Disabilities, (OSD)</w:t>
      </w:r>
      <w:r w:rsidRPr="003F1330">
        <w:rPr>
          <w:rFonts w:cs="Arial"/>
        </w:rPr>
        <w:t xml:space="preserve">  </w:t>
      </w:r>
      <w:hyperlink r:id="rId12" w:history="1">
        <w:r w:rsidRPr="003F1330">
          <w:rPr>
            <w:rStyle w:val="Hyperlink"/>
            <w:rFonts w:cs="Arial"/>
          </w:rPr>
          <w:t>www.uta.edu/disability</w:t>
        </w:r>
      </w:hyperlink>
      <w:r w:rsidRPr="003F1330">
        <w:rPr>
          <w:rFonts w:cs="Arial"/>
        </w:rPr>
        <w:t xml:space="preserve"> or calling 817-272-3364. Information regarding diagnostic criteria and policies for obtaining disability-based academic accommodations can be found at </w:t>
      </w:r>
      <w:hyperlink r:id="rId13" w:history="1">
        <w:r w:rsidRPr="003F1330">
          <w:rPr>
            <w:rStyle w:val="Hyperlink"/>
            <w:rFonts w:cs="Arial"/>
          </w:rPr>
          <w:t>www.uta.edu/disability</w:t>
        </w:r>
      </w:hyperlink>
      <w:r w:rsidRPr="003F1330">
        <w:rPr>
          <w:rStyle w:val="Hyperlink"/>
          <w:rFonts w:cs="Arial"/>
        </w:rPr>
        <w:t>.</w:t>
      </w:r>
    </w:p>
    <w:p w14:paraId="0833CFA7" w14:textId="77777777" w:rsidR="003F1330" w:rsidRPr="003F1330" w:rsidRDefault="003F1330" w:rsidP="003F1330">
      <w:pPr>
        <w:spacing w:after="0"/>
        <w:ind w:left="720"/>
        <w:contextualSpacing/>
        <w:rPr>
          <w:rFonts w:cs="Arial"/>
        </w:rPr>
      </w:pPr>
    </w:p>
    <w:p w14:paraId="46B1DD09" w14:textId="70D173A3" w:rsidR="003F1330" w:rsidRDefault="004E1FA9" w:rsidP="00CA4AF5">
      <w:pPr>
        <w:spacing w:after="0"/>
        <w:ind w:left="720"/>
        <w:contextualSpacing/>
        <w:rPr>
          <w:rFonts w:cs="Arial"/>
        </w:rPr>
      </w:pPr>
      <w:r w:rsidRPr="003F1330">
        <w:rPr>
          <w:rFonts w:cs="Arial"/>
        </w:rPr>
        <w:t xml:space="preserve">Counseling and Psychological Services (CAPS) is also available to all students </w:t>
      </w:r>
      <w:r w:rsidRPr="003F1330">
        <w:rPr>
          <w:rFonts w:eastAsia="Times New Roman" w:cs="Arial"/>
          <w:color w:val="333333"/>
          <w:shd w:val="clear" w:color="auto" w:fill="FFFFFF"/>
        </w:rPr>
        <w:t xml:space="preserve">to help increase their understanding of personal issues, address mental and behavioral health problems and make positive changes in their lives. </w:t>
      </w:r>
      <w:r w:rsidRPr="003F1330">
        <w:rPr>
          <w:rFonts w:cs="Arial"/>
        </w:rPr>
        <w:t xml:space="preserve">Visit their website at </w:t>
      </w:r>
      <w:hyperlink r:id="rId14" w:history="1">
        <w:r w:rsidRPr="003F1330">
          <w:rPr>
            <w:rStyle w:val="Hyperlink"/>
            <w:rFonts w:cs="Arial"/>
          </w:rPr>
          <w:t>www.uta.edu/caps/</w:t>
        </w:r>
      </w:hyperlink>
      <w:r w:rsidRPr="003F1330">
        <w:rPr>
          <w:rFonts w:cs="Arial"/>
        </w:rPr>
        <w:t xml:space="preserve"> or call 817-272-3671.</w:t>
      </w:r>
    </w:p>
    <w:p w14:paraId="2306EC1C" w14:textId="77777777" w:rsidR="00EA65FA" w:rsidRPr="00CA4AF5" w:rsidRDefault="00EA65FA" w:rsidP="00CA4AF5">
      <w:pPr>
        <w:spacing w:after="0"/>
        <w:ind w:left="720"/>
        <w:contextualSpacing/>
        <w:rPr>
          <w:rFonts w:cs="Arial"/>
        </w:rPr>
      </w:pPr>
    </w:p>
    <w:p w14:paraId="6A798364" w14:textId="2266269B" w:rsidR="004E1FA9" w:rsidRDefault="004E1FA9" w:rsidP="003F1330">
      <w:pPr>
        <w:spacing w:after="0"/>
        <w:contextualSpacing/>
        <w:rPr>
          <w:b/>
          <w:bCs/>
        </w:rPr>
      </w:pPr>
      <w:r w:rsidRPr="003F1330">
        <w:rPr>
          <w:b/>
          <w:bCs/>
        </w:rPr>
        <w:t>Non-Discrimination Policy</w:t>
      </w:r>
    </w:p>
    <w:p w14:paraId="0C0BEC93" w14:textId="77777777" w:rsidR="003F1330" w:rsidRPr="003F1330" w:rsidRDefault="003F1330" w:rsidP="003F1330">
      <w:pPr>
        <w:spacing w:after="0"/>
        <w:contextualSpacing/>
      </w:pPr>
    </w:p>
    <w:p w14:paraId="0BC9A460" w14:textId="2E4E19E5" w:rsidR="00C33418" w:rsidRPr="00CA4AF5" w:rsidRDefault="004E1FA9" w:rsidP="00CA4AF5">
      <w:pPr>
        <w:spacing w:after="0"/>
        <w:ind w:left="720"/>
        <w:contextualSpacing/>
        <w:rPr>
          <w:i/>
          <w:iCs/>
        </w:rPr>
      </w:pPr>
      <w:r w:rsidRPr="003F1330">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3F1330">
          <w:rPr>
            <w:rStyle w:val="Hyperlink"/>
            <w:i/>
            <w:iCs/>
          </w:rPr>
          <w:t>uta.edu/eos</w:t>
        </w:r>
      </w:hyperlink>
      <w:r w:rsidRPr="003F1330">
        <w:rPr>
          <w:i/>
          <w:iCs/>
        </w:rPr>
        <w:t>.</w:t>
      </w:r>
    </w:p>
    <w:p w14:paraId="51B3BA89" w14:textId="77777777" w:rsidR="00C33418" w:rsidRDefault="00C33418" w:rsidP="003F1330">
      <w:pPr>
        <w:spacing w:after="0"/>
        <w:contextualSpacing/>
        <w:rPr>
          <w:b/>
          <w:iCs/>
        </w:rPr>
      </w:pPr>
    </w:p>
    <w:p w14:paraId="231CA16D" w14:textId="77777777" w:rsidR="004E1FA9" w:rsidRDefault="004E1FA9" w:rsidP="003F1330">
      <w:pPr>
        <w:spacing w:after="0"/>
        <w:contextualSpacing/>
        <w:rPr>
          <w:b/>
          <w:iCs/>
        </w:rPr>
      </w:pPr>
      <w:r w:rsidRPr="003F1330">
        <w:rPr>
          <w:b/>
          <w:iCs/>
        </w:rPr>
        <w:t>Title IX Policy</w:t>
      </w:r>
    </w:p>
    <w:p w14:paraId="582A02D4" w14:textId="77777777" w:rsidR="007C40FD" w:rsidRPr="003F1330" w:rsidRDefault="007C40FD" w:rsidP="003F1330">
      <w:pPr>
        <w:spacing w:after="0"/>
        <w:contextualSpacing/>
        <w:rPr>
          <w:b/>
          <w:iCs/>
        </w:rPr>
      </w:pPr>
    </w:p>
    <w:p w14:paraId="5D9F1806" w14:textId="484CB4ED" w:rsidR="004E1FA9" w:rsidRPr="007C40FD" w:rsidRDefault="004E1FA9" w:rsidP="007C40FD">
      <w:pPr>
        <w:spacing w:after="0"/>
        <w:ind w:left="720"/>
        <w:contextualSpacing/>
        <w:rPr>
          <w:rFonts w:eastAsia="Times New Roman"/>
        </w:rPr>
      </w:pPr>
      <w:r w:rsidRPr="003F1330">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3F1330">
        <w:rPr>
          <w:rFonts w:cs="Arial"/>
          <w:b/>
          <w:iCs/>
        </w:rPr>
        <w:t xml:space="preserve"> </w:t>
      </w:r>
      <w:r w:rsidRPr="003F1330">
        <w:rPr>
          <w:rFonts w:eastAsia="Times New Roman" w:cs="Arial"/>
          <w:i/>
          <w:iCs/>
          <w:color w:val="000000"/>
          <w:shd w:val="clear" w:color="auto" w:fill="FFFFFF"/>
        </w:rPr>
        <w:t>For information regarding Title IX, visit</w:t>
      </w:r>
      <w:r w:rsidRPr="003F1330">
        <w:rPr>
          <w:rFonts w:eastAsia="Times New Roman" w:cs="Arial"/>
        </w:rPr>
        <w:t xml:space="preserve"> </w:t>
      </w:r>
      <w:hyperlink r:id="rId16" w:history="1">
        <w:r w:rsidRPr="003F1330">
          <w:rPr>
            <w:rStyle w:val="Hyperlink"/>
            <w:rFonts w:cs="Arial"/>
          </w:rPr>
          <w:t>www.uta.edu/titleIX</w:t>
        </w:r>
      </w:hyperlink>
      <w:r w:rsidRPr="003F1330">
        <w:t xml:space="preserve"> or contact Ms. Jean Hood, Vice President and Title IX Coordinator at (817) 272-7091 or </w:t>
      </w:r>
      <w:hyperlink r:id="rId17" w:history="1">
        <w:r w:rsidRPr="003F1330">
          <w:rPr>
            <w:rStyle w:val="Hyperlink"/>
          </w:rPr>
          <w:t>jmhood@uta.edu</w:t>
        </w:r>
      </w:hyperlink>
      <w:r w:rsidRPr="003F1330">
        <w:t>.</w:t>
      </w:r>
    </w:p>
    <w:p w14:paraId="1B8AC790" w14:textId="77777777" w:rsidR="004E1FA9" w:rsidRPr="003F1330" w:rsidRDefault="004E1FA9" w:rsidP="003F1330">
      <w:pPr>
        <w:keepNext/>
        <w:spacing w:after="0"/>
        <w:contextualSpacing/>
        <w:rPr>
          <w:rFonts w:cs="Arial"/>
          <w:b/>
          <w:bCs/>
        </w:rPr>
      </w:pPr>
      <w:r w:rsidRPr="003F1330">
        <w:rPr>
          <w:rFonts w:cs="Arial"/>
          <w:b/>
          <w:bCs/>
        </w:rPr>
        <w:lastRenderedPageBreak/>
        <w:t xml:space="preserve">Academic Integrity: </w:t>
      </w:r>
    </w:p>
    <w:p w14:paraId="407F7B60" w14:textId="77777777" w:rsidR="003F1330" w:rsidRDefault="003F1330" w:rsidP="003F1330">
      <w:pPr>
        <w:keepNext/>
        <w:spacing w:after="0"/>
        <w:contextualSpacing/>
        <w:rPr>
          <w:rFonts w:cs="Arial"/>
        </w:rPr>
      </w:pPr>
    </w:p>
    <w:p w14:paraId="5B530547" w14:textId="1C9F6ED2" w:rsidR="004E1FA9" w:rsidRPr="003F1330" w:rsidRDefault="004E1FA9" w:rsidP="003F1330">
      <w:pPr>
        <w:keepNext/>
        <w:spacing w:after="0"/>
        <w:ind w:left="720"/>
        <w:contextualSpacing/>
        <w:rPr>
          <w:rFonts w:cs="Arial"/>
        </w:rPr>
      </w:pPr>
      <w:r w:rsidRPr="003F1330">
        <w:rPr>
          <w:rFonts w:cs="Arial"/>
        </w:rPr>
        <w:t>Students enrolled all UT Arlington courses are expected to adhere to the UT Arlington Honor Code:</w:t>
      </w:r>
    </w:p>
    <w:p w14:paraId="040CD1FA" w14:textId="77777777" w:rsidR="003F1330" w:rsidRDefault="003F1330" w:rsidP="003F1330">
      <w:pPr>
        <w:pStyle w:val="Default"/>
        <w:ind w:left="1440" w:right="432"/>
        <w:contextualSpacing/>
        <w:jc w:val="both"/>
        <w:rPr>
          <w:rFonts w:asciiTheme="minorHAnsi" w:hAnsiTheme="minorHAnsi" w:cs="Arial"/>
          <w:i/>
          <w:sz w:val="22"/>
          <w:szCs w:val="22"/>
        </w:rPr>
      </w:pPr>
    </w:p>
    <w:p w14:paraId="1AFE4B30" w14:textId="77777777" w:rsidR="004E1FA9" w:rsidRDefault="004E1FA9" w:rsidP="003F1330">
      <w:pPr>
        <w:pStyle w:val="Default"/>
        <w:ind w:left="1440" w:right="432"/>
        <w:contextualSpacing/>
        <w:jc w:val="both"/>
        <w:rPr>
          <w:rFonts w:asciiTheme="minorHAnsi" w:hAnsiTheme="minorHAnsi" w:cs="Arial"/>
          <w:i/>
          <w:sz w:val="22"/>
          <w:szCs w:val="22"/>
        </w:rPr>
      </w:pPr>
      <w:r w:rsidRPr="003F1330">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14:paraId="5D10B570" w14:textId="77777777" w:rsidR="00C6589D" w:rsidRPr="003F1330" w:rsidRDefault="00C6589D" w:rsidP="003F1330">
      <w:pPr>
        <w:pStyle w:val="Default"/>
        <w:ind w:left="1440" w:right="432"/>
        <w:contextualSpacing/>
        <w:jc w:val="both"/>
        <w:rPr>
          <w:rFonts w:asciiTheme="minorHAnsi" w:hAnsiTheme="minorHAnsi" w:cs="Arial"/>
          <w:i/>
          <w:sz w:val="22"/>
          <w:szCs w:val="22"/>
        </w:rPr>
      </w:pPr>
    </w:p>
    <w:p w14:paraId="4BC4DD19" w14:textId="2B6B420F" w:rsidR="004E1FA9" w:rsidRPr="003F1330" w:rsidRDefault="004E1FA9" w:rsidP="003F1330">
      <w:pPr>
        <w:pStyle w:val="Default"/>
        <w:ind w:left="1440" w:right="432"/>
        <w:contextualSpacing/>
        <w:jc w:val="both"/>
        <w:rPr>
          <w:rFonts w:asciiTheme="minorHAnsi" w:hAnsiTheme="minorHAnsi" w:cs="Arial"/>
          <w:i/>
          <w:sz w:val="22"/>
          <w:szCs w:val="22"/>
        </w:rPr>
      </w:pPr>
      <w:r w:rsidRPr="003F1330">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CD21623" w14:textId="77777777" w:rsidR="004E1FA9" w:rsidRPr="003F1330" w:rsidRDefault="004E1FA9" w:rsidP="003F1330">
      <w:pPr>
        <w:pStyle w:val="Default"/>
        <w:ind w:left="1440" w:right="432"/>
        <w:contextualSpacing/>
        <w:jc w:val="both"/>
        <w:rPr>
          <w:rFonts w:asciiTheme="minorHAnsi" w:hAnsiTheme="minorHAnsi" w:cs="Arial"/>
          <w:i/>
          <w:sz w:val="22"/>
          <w:szCs w:val="22"/>
        </w:rPr>
      </w:pPr>
    </w:p>
    <w:p w14:paraId="5A62EB70" w14:textId="77777777" w:rsidR="004E1FA9" w:rsidRDefault="004E1FA9" w:rsidP="003F1330">
      <w:pPr>
        <w:keepNext/>
        <w:spacing w:after="0"/>
        <w:ind w:left="720"/>
        <w:contextualSpacing/>
        <w:rPr>
          <w:rFonts w:cs="Arial"/>
        </w:rPr>
      </w:pPr>
      <w:r w:rsidRPr="003F1330">
        <w:rPr>
          <w:rFonts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3F1330">
        <w:rPr>
          <w:rFonts w:cs="Arial"/>
          <w:i/>
        </w:rPr>
        <w:t>Regents’ Rule</w:t>
      </w:r>
      <w:r w:rsidRPr="003F1330">
        <w:rPr>
          <w:rFonts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8" w:history="1">
        <w:r w:rsidRPr="003F1330">
          <w:rPr>
            <w:rStyle w:val="Hyperlink"/>
            <w:rFonts w:cs="Arial"/>
          </w:rPr>
          <w:t>https://www.uta.edu/conduct/</w:t>
        </w:r>
      </w:hyperlink>
      <w:r w:rsidRPr="003F1330">
        <w:rPr>
          <w:rFonts w:cs="Arial"/>
        </w:rPr>
        <w:t xml:space="preserve">. </w:t>
      </w:r>
    </w:p>
    <w:p w14:paraId="75ACDFA6" w14:textId="77777777" w:rsidR="003F1330" w:rsidRPr="003F1330" w:rsidRDefault="003F1330" w:rsidP="003F1330">
      <w:pPr>
        <w:keepNext/>
        <w:spacing w:after="0"/>
        <w:contextualSpacing/>
        <w:rPr>
          <w:rFonts w:cs="Arial"/>
        </w:rPr>
      </w:pPr>
    </w:p>
    <w:p w14:paraId="50AB53C0" w14:textId="77777777" w:rsidR="004E1FA9" w:rsidRDefault="004E1FA9" w:rsidP="003F1330">
      <w:pPr>
        <w:spacing w:after="0"/>
        <w:contextualSpacing/>
        <w:rPr>
          <w:rFonts w:cs="Arial"/>
          <w:b/>
        </w:rPr>
      </w:pPr>
      <w:r w:rsidRPr="003F1330">
        <w:rPr>
          <w:rFonts w:cs="Arial"/>
          <w:b/>
        </w:rPr>
        <w:t>Electronic Communication</w:t>
      </w:r>
    </w:p>
    <w:p w14:paraId="7AE0223B" w14:textId="77777777" w:rsidR="003F1330" w:rsidRPr="003F1330" w:rsidRDefault="003F1330" w:rsidP="003F1330">
      <w:pPr>
        <w:spacing w:after="0"/>
        <w:contextualSpacing/>
        <w:rPr>
          <w:rFonts w:cs="Arial"/>
          <w:b/>
        </w:rPr>
      </w:pPr>
    </w:p>
    <w:p w14:paraId="0DF39D9C" w14:textId="0FE24A07" w:rsidR="004E1FA9" w:rsidRDefault="004E1FA9" w:rsidP="003F1330">
      <w:pPr>
        <w:spacing w:after="0"/>
        <w:ind w:left="720"/>
        <w:contextualSpacing/>
        <w:rPr>
          <w:rFonts w:cs="Arial"/>
        </w:rPr>
      </w:pPr>
      <w:r w:rsidRPr="003F1330">
        <w:rPr>
          <w:rFonts w:cs="Arial"/>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9" w:history="1">
        <w:r w:rsidRPr="003F1330">
          <w:rPr>
            <w:rStyle w:val="Hyperlink"/>
            <w:rFonts w:cs="Arial"/>
          </w:rPr>
          <w:t>http://www.uta.edu/oit/cs/email/mavmail.php</w:t>
        </w:r>
      </w:hyperlink>
      <w:r w:rsidRPr="003F1330">
        <w:rPr>
          <w:rFonts w:cs="Arial"/>
        </w:rPr>
        <w:t>.</w:t>
      </w:r>
    </w:p>
    <w:p w14:paraId="038E3D67" w14:textId="77777777" w:rsidR="003F1330" w:rsidRPr="003F1330" w:rsidRDefault="003F1330" w:rsidP="003F1330">
      <w:pPr>
        <w:spacing w:after="0"/>
        <w:contextualSpacing/>
        <w:rPr>
          <w:rFonts w:cs="Arial"/>
        </w:rPr>
      </w:pPr>
    </w:p>
    <w:p w14:paraId="15408FB1" w14:textId="77777777" w:rsidR="004E1FA9" w:rsidRDefault="004E1FA9" w:rsidP="003F1330">
      <w:pPr>
        <w:spacing w:after="0"/>
        <w:contextualSpacing/>
        <w:rPr>
          <w:rFonts w:cs="Arial"/>
          <w:b/>
        </w:rPr>
      </w:pPr>
      <w:r w:rsidRPr="003F1330">
        <w:rPr>
          <w:rFonts w:cs="Arial"/>
          <w:b/>
        </w:rPr>
        <w:t>Campus Carry</w:t>
      </w:r>
    </w:p>
    <w:p w14:paraId="02D65796" w14:textId="77777777" w:rsidR="003F1330" w:rsidRPr="003F1330" w:rsidRDefault="003F1330" w:rsidP="003F1330">
      <w:pPr>
        <w:spacing w:after="0"/>
        <w:contextualSpacing/>
        <w:rPr>
          <w:rFonts w:cs="Arial"/>
          <w:b/>
        </w:rPr>
      </w:pPr>
    </w:p>
    <w:p w14:paraId="69FBFA2B" w14:textId="548866F3" w:rsidR="004E1FA9" w:rsidRDefault="004E1FA9" w:rsidP="003F1330">
      <w:pPr>
        <w:spacing w:after="0"/>
        <w:ind w:left="720"/>
        <w:contextualSpacing/>
        <w:rPr>
          <w:rStyle w:val="Hyperlink"/>
          <w:rFonts w:cs="Arial"/>
        </w:rPr>
      </w:pPr>
      <w:r w:rsidRPr="003F1330">
        <w:rPr>
          <w:rFonts w:cs="Arial"/>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0" w:history="1">
        <w:r w:rsidRPr="003F1330">
          <w:rPr>
            <w:rStyle w:val="Hyperlink"/>
            <w:rFonts w:cs="Arial"/>
          </w:rPr>
          <w:t>http://www.uta.edu/news/info/campus-carry/</w:t>
        </w:r>
      </w:hyperlink>
    </w:p>
    <w:p w14:paraId="73EACDB0" w14:textId="77777777" w:rsidR="003F1330" w:rsidRPr="003F1330" w:rsidRDefault="003F1330" w:rsidP="003F1330">
      <w:pPr>
        <w:spacing w:after="0"/>
        <w:contextualSpacing/>
        <w:rPr>
          <w:rFonts w:cs="Arial"/>
        </w:rPr>
      </w:pPr>
    </w:p>
    <w:p w14:paraId="773EA889" w14:textId="17B632C7" w:rsidR="004E1FA9" w:rsidRDefault="004E1FA9" w:rsidP="003F1330">
      <w:pPr>
        <w:autoSpaceDE w:val="0"/>
        <w:autoSpaceDN w:val="0"/>
        <w:adjustRightInd w:val="0"/>
        <w:spacing w:after="0"/>
        <w:contextualSpacing/>
        <w:rPr>
          <w:rFonts w:cs="Arial"/>
          <w:b/>
        </w:rPr>
      </w:pPr>
      <w:r w:rsidRPr="003F1330">
        <w:rPr>
          <w:rFonts w:cs="Arial"/>
          <w:b/>
        </w:rPr>
        <w:t>Student Feedback Survey</w:t>
      </w:r>
    </w:p>
    <w:p w14:paraId="11E1BBA0" w14:textId="77777777" w:rsidR="003F1330" w:rsidRPr="003F1330" w:rsidRDefault="003F1330" w:rsidP="003F1330">
      <w:pPr>
        <w:autoSpaceDE w:val="0"/>
        <w:autoSpaceDN w:val="0"/>
        <w:adjustRightInd w:val="0"/>
        <w:spacing w:after="0"/>
        <w:contextualSpacing/>
        <w:rPr>
          <w:rFonts w:cs="Arial"/>
          <w:b/>
        </w:rPr>
      </w:pPr>
    </w:p>
    <w:p w14:paraId="163E206B" w14:textId="43C6ACC6" w:rsidR="004E1FA9" w:rsidRDefault="004E1FA9" w:rsidP="003F1330">
      <w:pPr>
        <w:autoSpaceDE w:val="0"/>
        <w:autoSpaceDN w:val="0"/>
        <w:adjustRightInd w:val="0"/>
        <w:spacing w:after="0"/>
        <w:ind w:left="720"/>
        <w:contextualSpacing/>
        <w:rPr>
          <w:rFonts w:cs="Arial"/>
          <w:bCs/>
        </w:rPr>
      </w:pPr>
      <w:r w:rsidRPr="003F1330">
        <w:rPr>
          <w:rFonts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w:t>
      </w:r>
      <w:r w:rsidRPr="003F1330">
        <w:rPr>
          <w:rFonts w:cs="Arial"/>
          <w:bCs/>
        </w:rPr>
        <w:lastRenderedPageBreak/>
        <w:t xml:space="preserve">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1" w:history="1">
        <w:r w:rsidRPr="003F1330">
          <w:rPr>
            <w:rStyle w:val="Hyperlink"/>
            <w:rFonts w:cs="Arial"/>
            <w:bCs/>
          </w:rPr>
          <w:t>http://www.uta.edu/sfs</w:t>
        </w:r>
      </w:hyperlink>
      <w:r w:rsidRPr="003F1330">
        <w:rPr>
          <w:rFonts w:cs="Arial"/>
          <w:bCs/>
        </w:rPr>
        <w:t>.</w:t>
      </w:r>
    </w:p>
    <w:p w14:paraId="1BE795B6" w14:textId="77777777" w:rsidR="003F1330" w:rsidRPr="003F1330" w:rsidRDefault="003F1330" w:rsidP="003F1330">
      <w:pPr>
        <w:autoSpaceDE w:val="0"/>
        <w:autoSpaceDN w:val="0"/>
        <w:adjustRightInd w:val="0"/>
        <w:spacing w:after="0"/>
        <w:contextualSpacing/>
        <w:rPr>
          <w:rFonts w:cs="Arial"/>
        </w:rPr>
      </w:pPr>
    </w:p>
    <w:p w14:paraId="324CE634" w14:textId="68FF0438" w:rsidR="004E1FA9" w:rsidRDefault="004E1FA9" w:rsidP="003F1330">
      <w:pPr>
        <w:spacing w:after="0"/>
        <w:contextualSpacing/>
        <w:rPr>
          <w:rFonts w:cs="Arial"/>
          <w:b/>
          <w:bCs/>
        </w:rPr>
      </w:pPr>
      <w:r w:rsidRPr="003F1330">
        <w:rPr>
          <w:rFonts w:cs="Arial"/>
          <w:b/>
          <w:bCs/>
        </w:rPr>
        <w:t>Final Review Week</w:t>
      </w:r>
    </w:p>
    <w:p w14:paraId="1E671D84" w14:textId="77777777" w:rsidR="003F1330" w:rsidRPr="003F1330" w:rsidRDefault="003F1330" w:rsidP="003F1330">
      <w:pPr>
        <w:spacing w:after="0"/>
        <w:contextualSpacing/>
        <w:rPr>
          <w:rFonts w:cs="Arial"/>
          <w:b/>
          <w:bCs/>
        </w:rPr>
      </w:pPr>
    </w:p>
    <w:p w14:paraId="6BDCB663" w14:textId="1A51BC4D" w:rsidR="004E1FA9" w:rsidRDefault="004E1FA9" w:rsidP="003F1330">
      <w:pPr>
        <w:spacing w:after="0"/>
        <w:ind w:left="720"/>
        <w:contextualSpacing/>
        <w:rPr>
          <w:rFonts w:cs="Arial"/>
        </w:rPr>
      </w:pPr>
      <w:r w:rsidRPr="003F1330">
        <w:rPr>
          <w:rFonts w:cs="Arial"/>
          <w:bCs/>
        </w:rPr>
        <w:t>For semester-long courses</w:t>
      </w:r>
      <w:r w:rsidRPr="003F1330">
        <w:rPr>
          <w:rFonts w:cs="Arial"/>
          <w:b/>
          <w:bCs/>
        </w:rPr>
        <w:t xml:space="preserve">, </w:t>
      </w:r>
      <w:r w:rsidRPr="003F1330">
        <w:rPr>
          <w:rFonts w:cs="Arial"/>
          <w:bCs/>
        </w:rPr>
        <w:t>a</w:t>
      </w:r>
      <w:r w:rsidRPr="003F1330">
        <w:rPr>
          <w:rFonts w:cs="Arial"/>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F1330">
        <w:rPr>
          <w:rFonts w:cs="Arial"/>
          <w:i/>
        </w:rPr>
        <w:t>unless specified in the class syllabus</w:t>
      </w:r>
      <w:r w:rsidRPr="003F1330">
        <w:rPr>
          <w:rFonts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74E425D8" w14:textId="77777777" w:rsidR="003F1330" w:rsidRPr="003F1330" w:rsidRDefault="003F1330" w:rsidP="003F1330">
      <w:pPr>
        <w:spacing w:after="0"/>
        <w:contextualSpacing/>
        <w:rPr>
          <w:rFonts w:cs="Arial"/>
        </w:rPr>
      </w:pPr>
    </w:p>
    <w:p w14:paraId="3FE942E2" w14:textId="77777777" w:rsidR="004E1FA9" w:rsidRDefault="004E1FA9" w:rsidP="003F1330">
      <w:pPr>
        <w:spacing w:after="0"/>
        <w:contextualSpacing/>
        <w:rPr>
          <w:rFonts w:cs="Arial"/>
          <w:b/>
          <w:bCs/>
        </w:rPr>
      </w:pPr>
      <w:r w:rsidRPr="003F1330">
        <w:rPr>
          <w:rFonts w:cs="Arial"/>
          <w:b/>
          <w:bCs/>
        </w:rPr>
        <w:t>Emergency Exit Procedures</w:t>
      </w:r>
    </w:p>
    <w:p w14:paraId="6F8CC7F3" w14:textId="77777777" w:rsidR="003F1330" w:rsidRPr="003F1330" w:rsidRDefault="003F1330" w:rsidP="003F1330">
      <w:pPr>
        <w:spacing w:after="0"/>
        <w:contextualSpacing/>
        <w:rPr>
          <w:rFonts w:cs="Arial"/>
          <w:b/>
          <w:bCs/>
        </w:rPr>
      </w:pPr>
    </w:p>
    <w:p w14:paraId="0D4DD5AD" w14:textId="6CB60AD6" w:rsidR="004E1FA9" w:rsidRDefault="004E1FA9" w:rsidP="003F1330">
      <w:pPr>
        <w:spacing w:after="0"/>
        <w:ind w:left="720"/>
        <w:contextualSpacing/>
        <w:rPr>
          <w:rFonts w:cs="Arial"/>
        </w:rPr>
      </w:pPr>
      <w:r w:rsidRPr="003F1330">
        <w:rPr>
          <w:rFonts w:cs="Arial"/>
        </w:rPr>
        <w:t xml:space="preserve">Should we experience an emergency event that requires us to vacate the building, students should exit the room and move toward the nearest exit, </w:t>
      </w:r>
      <w:r w:rsidRPr="003F1330">
        <w:rPr>
          <w:rFonts w:cs="Arial"/>
          <w:color w:val="000000" w:themeColor="text1"/>
        </w:rPr>
        <w:t xml:space="preserve">which is located down the hall to the right or left. </w:t>
      </w:r>
      <w:r w:rsidRPr="003F1330">
        <w:rPr>
          <w:rFonts w:cs="Arial"/>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06DFB87B" w14:textId="77777777" w:rsidR="003F1330" w:rsidRPr="003F1330" w:rsidRDefault="003F1330" w:rsidP="003F1330">
      <w:pPr>
        <w:spacing w:after="0"/>
        <w:contextualSpacing/>
        <w:rPr>
          <w:rFonts w:cs="Arial"/>
        </w:rPr>
      </w:pPr>
    </w:p>
    <w:p w14:paraId="15C4448C" w14:textId="26A36ED2" w:rsidR="004E1FA9" w:rsidRDefault="004E1FA9" w:rsidP="003F1330">
      <w:pPr>
        <w:spacing w:after="0"/>
        <w:contextualSpacing/>
        <w:rPr>
          <w:rFonts w:cs="Arial"/>
          <w:b/>
          <w:bCs/>
        </w:rPr>
      </w:pPr>
      <w:r w:rsidRPr="003F1330">
        <w:rPr>
          <w:rFonts w:cs="Arial"/>
          <w:b/>
          <w:bCs/>
        </w:rPr>
        <w:t>Student Support Services</w:t>
      </w:r>
    </w:p>
    <w:p w14:paraId="4FB4FC42" w14:textId="77777777" w:rsidR="003F1330" w:rsidRPr="003F1330" w:rsidRDefault="003F1330" w:rsidP="003F1330">
      <w:pPr>
        <w:spacing w:after="0"/>
        <w:contextualSpacing/>
        <w:rPr>
          <w:rFonts w:cs="Arial"/>
          <w:bCs/>
          <w:color w:val="FF0000"/>
        </w:rPr>
      </w:pPr>
    </w:p>
    <w:p w14:paraId="6D6A3374" w14:textId="3BBE2960" w:rsidR="004E1FA9" w:rsidRDefault="004E1FA9" w:rsidP="003F1330">
      <w:pPr>
        <w:spacing w:after="0"/>
        <w:ind w:left="720"/>
        <w:contextualSpacing/>
        <w:rPr>
          <w:rFonts w:cs="Arial"/>
        </w:rPr>
      </w:pPr>
      <w:r w:rsidRPr="003F1330">
        <w:rPr>
          <w:rFonts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Pr="003F1330">
          <w:rPr>
            <w:rStyle w:val="Hyperlink"/>
            <w:rFonts w:cs="Arial"/>
          </w:rPr>
          <w:t>tutoring</w:t>
        </w:r>
      </w:hyperlink>
      <w:r w:rsidRPr="003F1330">
        <w:rPr>
          <w:rFonts w:cs="Arial"/>
        </w:rPr>
        <w:t xml:space="preserve">, </w:t>
      </w:r>
      <w:hyperlink r:id="rId23" w:history="1">
        <w:r w:rsidRPr="003F1330">
          <w:rPr>
            <w:rStyle w:val="Hyperlink"/>
            <w:rFonts w:cs="Arial"/>
          </w:rPr>
          <w:t>major-based learning centers</w:t>
        </w:r>
      </w:hyperlink>
      <w:r w:rsidRPr="003F1330">
        <w:rPr>
          <w:rFonts w:cs="Arial"/>
        </w:rPr>
        <w:t xml:space="preserve">, developmental education, </w:t>
      </w:r>
      <w:hyperlink r:id="rId24" w:history="1">
        <w:r w:rsidRPr="003F1330">
          <w:rPr>
            <w:rStyle w:val="Hyperlink"/>
            <w:rFonts w:cs="Arial"/>
          </w:rPr>
          <w:t>advising and mentoring</w:t>
        </w:r>
      </w:hyperlink>
      <w:r w:rsidRPr="003F1330">
        <w:rPr>
          <w:rFonts w:cs="Arial"/>
        </w:rPr>
        <w:t xml:space="preserve">, personal counseling, and </w:t>
      </w:r>
      <w:hyperlink r:id="rId25" w:history="1">
        <w:r w:rsidRPr="003F1330">
          <w:rPr>
            <w:rStyle w:val="Hyperlink"/>
            <w:rFonts w:cs="Arial"/>
          </w:rPr>
          <w:t>federally funded programs</w:t>
        </w:r>
      </w:hyperlink>
      <w:r w:rsidRPr="003F1330">
        <w:rPr>
          <w:rFonts w:cs="Arial"/>
        </w:rPr>
        <w:t xml:space="preserve">. For individualized referrals, students may visit the reception desk at University College (Ransom Hall), call the Maverick Resource Hotline at 817-272-6107, send a message to </w:t>
      </w:r>
      <w:hyperlink r:id="rId26" w:history="1">
        <w:r w:rsidRPr="003F1330">
          <w:rPr>
            <w:rStyle w:val="Hyperlink"/>
            <w:rFonts w:cs="Arial"/>
          </w:rPr>
          <w:t>resources@uta.edu</w:t>
        </w:r>
      </w:hyperlink>
      <w:r w:rsidRPr="003F1330">
        <w:rPr>
          <w:rFonts w:cs="Arial"/>
        </w:rPr>
        <w:t xml:space="preserve">, or view the information at </w:t>
      </w:r>
      <w:hyperlink r:id="rId27" w:history="1">
        <w:r w:rsidRPr="003F1330">
          <w:rPr>
            <w:rStyle w:val="Hyperlink"/>
            <w:rFonts w:cs="Arial"/>
          </w:rPr>
          <w:t>http://www.uta.edu/universitycollege/resources/index.php</w:t>
        </w:r>
      </w:hyperlink>
      <w:r w:rsidRPr="003F1330">
        <w:rPr>
          <w:rFonts w:cs="Arial"/>
        </w:rPr>
        <w:t>.</w:t>
      </w:r>
    </w:p>
    <w:p w14:paraId="6D3E44F1" w14:textId="77777777" w:rsidR="003F1330" w:rsidRPr="003F1330" w:rsidRDefault="003F1330" w:rsidP="003F1330">
      <w:pPr>
        <w:spacing w:after="0"/>
        <w:ind w:left="720"/>
        <w:contextualSpacing/>
        <w:rPr>
          <w:b/>
          <w:bCs/>
          <w:color w:val="0000FF"/>
        </w:rPr>
      </w:pPr>
    </w:p>
    <w:p w14:paraId="5106F157" w14:textId="15F7DEA8" w:rsidR="004E1FA9" w:rsidRPr="003F1330" w:rsidRDefault="004E1FA9" w:rsidP="003F1330">
      <w:pPr>
        <w:spacing w:after="0"/>
        <w:ind w:left="1440"/>
        <w:contextualSpacing/>
        <w:rPr>
          <w:rFonts w:cs="Arial"/>
        </w:rPr>
      </w:pPr>
      <w:r w:rsidRPr="003F1330">
        <w:rPr>
          <w:rFonts w:cs="Arial"/>
          <w:b/>
          <w:bCs/>
        </w:rPr>
        <w:t>University Tutorial &amp; Supplemental Instruction</w:t>
      </w:r>
      <w:r w:rsidR="003F1330" w:rsidRPr="003F1330">
        <w:rPr>
          <w:rFonts w:cs="Arial"/>
        </w:rPr>
        <w:t xml:space="preserve"> (Ransom Hall 205)</w:t>
      </w:r>
      <w:r w:rsidRPr="003F1330">
        <w:rPr>
          <w:rFonts w:cs="Arial"/>
        </w:rPr>
        <w:t xml:space="preserve"> offers a variety of academic support services for undergraduate students, including: 60 minute one-on-one </w:t>
      </w:r>
      <w:hyperlink r:id="rId28" w:history="1">
        <w:r w:rsidRPr="003F1330">
          <w:rPr>
            <w:rStyle w:val="Hyperlink"/>
            <w:rFonts w:cs="Arial"/>
            <w:color w:val="auto"/>
          </w:rPr>
          <w:t>tutoring</w:t>
        </w:r>
      </w:hyperlink>
      <w:r w:rsidRPr="003F1330">
        <w:rPr>
          <w:rFonts w:cs="Arial"/>
        </w:rPr>
        <w:t xml:space="preserve"> sessions, </w:t>
      </w:r>
      <w:hyperlink r:id="rId29" w:history="1">
        <w:r w:rsidRPr="003F1330">
          <w:rPr>
            <w:rStyle w:val="Hyperlink"/>
            <w:rFonts w:cs="Arial"/>
            <w:color w:val="auto"/>
          </w:rPr>
          <w:t>Start Strong</w:t>
        </w:r>
      </w:hyperlink>
      <w:r w:rsidRPr="003F1330">
        <w:rPr>
          <w:rFonts w:cs="Arial"/>
        </w:rPr>
        <w:t xml:space="preserve"> Freshman tutoring program, and </w:t>
      </w:r>
      <w:hyperlink r:id="rId30" w:history="1">
        <w:r w:rsidRPr="003F1330">
          <w:rPr>
            <w:rStyle w:val="Hyperlink"/>
            <w:rFonts w:cs="Arial"/>
            <w:color w:val="auto"/>
          </w:rPr>
          <w:t>Supplemental Instruction</w:t>
        </w:r>
      </w:hyperlink>
      <w:r w:rsidRPr="003F1330">
        <w:rPr>
          <w:rFonts w:cs="Arial"/>
        </w:rPr>
        <w:t xml:space="preserve">. Office hours are Monday-Friday 8:00am-5:00pm. For more information visit </w:t>
      </w:r>
      <w:hyperlink r:id="rId31" w:history="1">
        <w:r w:rsidRPr="003F1330">
          <w:rPr>
            <w:rStyle w:val="Hyperlink"/>
            <w:rFonts w:cs="Arial"/>
            <w:color w:val="auto"/>
          </w:rPr>
          <w:t>www.uta.edu/utsi</w:t>
        </w:r>
      </w:hyperlink>
      <w:r w:rsidRPr="003F1330">
        <w:rPr>
          <w:rFonts w:cs="Arial"/>
        </w:rPr>
        <w:t xml:space="preserve"> or call 817-272-2617.</w:t>
      </w:r>
    </w:p>
    <w:p w14:paraId="2036AB5F" w14:textId="77777777" w:rsidR="003F1330" w:rsidRPr="003F1330" w:rsidRDefault="003F1330" w:rsidP="003F1330">
      <w:pPr>
        <w:spacing w:after="0"/>
        <w:ind w:left="1440"/>
        <w:contextualSpacing/>
        <w:rPr>
          <w:rFonts w:cs="Arial"/>
        </w:rPr>
      </w:pPr>
    </w:p>
    <w:p w14:paraId="126564AF" w14:textId="77777777" w:rsidR="004E1FA9" w:rsidRPr="003F1330" w:rsidRDefault="004E1FA9" w:rsidP="003F1330">
      <w:pPr>
        <w:spacing w:after="0"/>
        <w:ind w:left="1440"/>
        <w:contextualSpacing/>
        <w:rPr>
          <w:bCs/>
        </w:rPr>
      </w:pPr>
      <w:r w:rsidRPr="003F1330">
        <w:rPr>
          <w:b/>
          <w:bCs/>
        </w:rPr>
        <w:t>The IDEAS Center (</w:t>
      </w:r>
      <w:r w:rsidRPr="003F1330">
        <w:rPr>
          <w:bCs/>
        </w:rPr>
        <w:t>2</w:t>
      </w:r>
      <w:r w:rsidRPr="003F1330">
        <w:rPr>
          <w:bCs/>
          <w:vertAlign w:val="superscript"/>
        </w:rPr>
        <w:t>nd</w:t>
      </w:r>
      <w:r w:rsidRPr="003F1330">
        <w:rPr>
          <w:bCs/>
        </w:rPr>
        <w:t xml:space="preserve"> Floor of Central Library) offers </w:t>
      </w:r>
      <w:r w:rsidRPr="003F1330">
        <w:rPr>
          <w:b/>
          <w:bCs/>
        </w:rPr>
        <w:t>FREE</w:t>
      </w:r>
      <w:r w:rsidRPr="003F1330">
        <w:rPr>
          <w:bCs/>
        </w:rPr>
        <w:t xml:space="preserve"> tutoring to all students with a focus on transfer students, sophomores, veterans and others undergoing a transition to UT Arlington. Students can drop in, or check the schedule of available peer tutors at www.uta.edu/IDEAS, or call (817) 272-6593.</w:t>
      </w:r>
    </w:p>
    <w:p w14:paraId="11DB2C14" w14:textId="77777777" w:rsidR="003F1330" w:rsidRPr="003F1330" w:rsidRDefault="003F1330" w:rsidP="003F1330">
      <w:pPr>
        <w:spacing w:after="0"/>
        <w:ind w:left="1440"/>
        <w:contextualSpacing/>
        <w:rPr>
          <w:bCs/>
        </w:rPr>
      </w:pPr>
    </w:p>
    <w:p w14:paraId="56D44B64" w14:textId="55AABB2A" w:rsidR="004E1FA9" w:rsidRDefault="004E1FA9" w:rsidP="003F1330">
      <w:pPr>
        <w:spacing w:after="0"/>
        <w:ind w:left="1440"/>
        <w:contextualSpacing/>
      </w:pPr>
      <w:r w:rsidRPr="003F1330">
        <w:rPr>
          <w:b/>
          <w:bCs/>
        </w:rPr>
        <w:t>The English Writing Center (411LIBR)</w:t>
      </w:r>
      <w:r w:rsidRPr="003F1330">
        <w:t xml:space="preserve">: The Writing Center offers </w:t>
      </w:r>
      <w:r w:rsidRPr="003F1330">
        <w:rPr>
          <w:b/>
        </w:rPr>
        <w:t>FREE</w:t>
      </w:r>
      <w:r w:rsidRPr="003F1330">
        <w:t xml:space="preserv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2" w:history="1">
        <w:r w:rsidRPr="003F1330">
          <w:rPr>
            <w:rStyle w:val="Hyperlink"/>
            <w:color w:val="auto"/>
          </w:rPr>
          <w:t>www.uta.edu/owl</w:t>
        </w:r>
      </w:hyperlink>
      <w:r w:rsidRPr="003F1330">
        <w:t xml:space="preserve"> for detailed information on all our programs and services.</w:t>
      </w:r>
    </w:p>
    <w:p w14:paraId="05F149EC" w14:textId="77777777" w:rsidR="00FD4EFA" w:rsidRPr="003F1330" w:rsidRDefault="00FD4EFA" w:rsidP="003F1330">
      <w:pPr>
        <w:spacing w:after="0"/>
        <w:ind w:left="1440"/>
        <w:contextualSpacing/>
      </w:pPr>
    </w:p>
    <w:p w14:paraId="295D0F8D" w14:textId="77777777" w:rsidR="004E1FA9" w:rsidRPr="003F1330" w:rsidRDefault="004E1FA9" w:rsidP="003F1330">
      <w:pPr>
        <w:spacing w:after="0"/>
        <w:ind w:left="1440"/>
        <w:contextualSpacing/>
        <w:rPr>
          <w:rStyle w:val="Hyperlink"/>
          <w:color w:val="auto"/>
        </w:rPr>
      </w:pPr>
      <w:r w:rsidRPr="003F1330">
        <w:t>The Library’s 2</w:t>
      </w:r>
      <w:r w:rsidRPr="003F1330">
        <w:rPr>
          <w:vertAlign w:val="superscript"/>
        </w:rPr>
        <w:t>nd</w:t>
      </w:r>
      <w:r w:rsidRPr="003F1330">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3F1330">
          <w:rPr>
            <w:rStyle w:val="Hyperlink"/>
            <w:color w:val="auto"/>
          </w:rPr>
          <w:t>http://library.uta.edu/academic-plaza</w:t>
        </w:r>
      </w:hyperlink>
    </w:p>
    <w:p w14:paraId="08E7D102" w14:textId="77777777" w:rsidR="003F1330" w:rsidRPr="003F1330" w:rsidRDefault="003F1330" w:rsidP="003F1330">
      <w:pPr>
        <w:spacing w:after="0"/>
        <w:ind w:left="720"/>
        <w:contextualSpacing/>
      </w:pPr>
    </w:p>
    <w:p w14:paraId="31A339FC" w14:textId="61259B2F" w:rsidR="004E1FA9" w:rsidRPr="003F1330" w:rsidRDefault="004E1FA9" w:rsidP="003F1330">
      <w:pPr>
        <w:pBdr>
          <w:top w:val="single" w:sz="4" w:space="1" w:color="auto"/>
          <w:left w:val="single" w:sz="4" w:space="4" w:color="auto"/>
          <w:bottom w:val="single" w:sz="4" w:space="1" w:color="auto"/>
          <w:right w:val="single" w:sz="4" w:space="4" w:color="auto"/>
        </w:pBdr>
        <w:spacing w:after="0"/>
        <w:contextualSpacing/>
        <w:rPr>
          <w:rFonts w:cs="Arial"/>
          <w:bCs/>
        </w:rPr>
      </w:pPr>
      <w:r w:rsidRPr="003F1330">
        <w:rPr>
          <w:rFonts w:cs="Arial"/>
          <w:b/>
        </w:rPr>
        <w:t>Emergency Phone Numbers</w:t>
      </w:r>
      <w:r w:rsidRPr="003F1330">
        <w:rPr>
          <w:rFonts w:cs="Arial"/>
          <w:bCs/>
        </w:rPr>
        <w:t xml:space="preserve">: In case of an on-campus emergency, call the UT Arlington Police Department at </w:t>
      </w:r>
      <w:r w:rsidRPr="003F1330">
        <w:rPr>
          <w:rFonts w:cs="Arial"/>
          <w:b/>
        </w:rPr>
        <w:t>817-272-3003</w:t>
      </w:r>
      <w:r w:rsidRPr="003F1330">
        <w:rPr>
          <w:rFonts w:cs="Arial"/>
          <w:bCs/>
        </w:rPr>
        <w:t xml:space="preserve"> (non-campus phone), </w:t>
      </w:r>
      <w:r w:rsidRPr="003F1330">
        <w:rPr>
          <w:rFonts w:cs="Arial"/>
          <w:b/>
        </w:rPr>
        <w:t>2-3003</w:t>
      </w:r>
      <w:r w:rsidRPr="003F1330">
        <w:rPr>
          <w:rFonts w:cs="Arial"/>
          <w:bCs/>
        </w:rPr>
        <w:t xml:space="preserve"> (campus phone). You may also dial 911. Non-emergency number 817-272-3381</w:t>
      </w:r>
    </w:p>
    <w:p w14:paraId="471201CB" w14:textId="77777777" w:rsidR="004E1FA9" w:rsidRDefault="004E1FA9" w:rsidP="003F1330">
      <w:pPr>
        <w:spacing w:after="0"/>
        <w:contextualSpacing/>
      </w:pPr>
    </w:p>
    <w:p w14:paraId="6E094E25" w14:textId="77777777" w:rsidR="0049145D" w:rsidRPr="003F1330" w:rsidRDefault="0049145D" w:rsidP="003F1330">
      <w:pPr>
        <w:spacing w:after="0"/>
        <w:contextualSpacing/>
      </w:pPr>
    </w:p>
    <w:p w14:paraId="3386B383" w14:textId="77777777" w:rsidR="00D11AFC" w:rsidRDefault="00D11AFC" w:rsidP="0054719F">
      <w:pPr>
        <w:spacing w:after="0"/>
        <w:contextualSpacing/>
        <w:rPr>
          <w:b/>
        </w:rPr>
      </w:pPr>
    </w:p>
    <w:p w14:paraId="7607CACA" w14:textId="77777777" w:rsidR="0049145D" w:rsidRDefault="0049145D" w:rsidP="0054719F">
      <w:pPr>
        <w:spacing w:after="0"/>
        <w:contextualSpacing/>
        <w:rPr>
          <w:b/>
        </w:rPr>
      </w:pPr>
    </w:p>
    <w:p w14:paraId="23FB9036" w14:textId="77777777" w:rsidR="0049145D" w:rsidRDefault="0049145D" w:rsidP="0054719F">
      <w:pPr>
        <w:spacing w:after="0"/>
        <w:contextualSpacing/>
        <w:rPr>
          <w:b/>
        </w:rPr>
      </w:pPr>
    </w:p>
    <w:p w14:paraId="04D81F98" w14:textId="77777777" w:rsidR="0049145D" w:rsidRDefault="0049145D" w:rsidP="0054719F">
      <w:pPr>
        <w:spacing w:after="0"/>
        <w:contextualSpacing/>
        <w:rPr>
          <w:b/>
        </w:rPr>
      </w:pPr>
    </w:p>
    <w:p w14:paraId="7240B1A1" w14:textId="77777777" w:rsidR="0049145D" w:rsidRDefault="0049145D" w:rsidP="0054719F">
      <w:pPr>
        <w:spacing w:after="0"/>
        <w:contextualSpacing/>
        <w:rPr>
          <w:b/>
        </w:rPr>
      </w:pPr>
    </w:p>
    <w:p w14:paraId="36EB5C29" w14:textId="77777777" w:rsidR="0049145D" w:rsidRDefault="0049145D" w:rsidP="0054719F">
      <w:pPr>
        <w:spacing w:after="0"/>
        <w:contextualSpacing/>
        <w:rPr>
          <w:b/>
        </w:rPr>
      </w:pPr>
    </w:p>
    <w:p w14:paraId="7E3B4F4E" w14:textId="77777777" w:rsidR="0049145D" w:rsidRDefault="0049145D" w:rsidP="0054719F">
      <w:pPr>
        <w:spacing w:after="0"/>
        <w:contextualSpacing/>
        <w:rPr>
          <w:b/>
        </w:rPr>
      </w:pPr>
    </w:p>
    <w:p w14:paraId="445E6F4D" w14:textId="77777777" w:rsidR="0049145D" w:rsidRDefault="0049145D" w:rsidP="0054719F">
      <w:pPr>
        <w:spacing w:after="0"/>
        <w:contextualSpacing/>
        <w:rPr>
          <w:b/>
        </w:rPr>
      </w:pPr>
    </w:p>
    <w:p w14:paraId="75E0C27F" w14:textId="77777777" w:rsidR="0049145D" w:rsidRDefault="0049145D" w:rsidP="0054719F">
      <w:pPr>
        <w:spacing w:after="0"/>
        <w:contextualSpacing/>
        <w:rPr>
          <w:b/>
        </w:rPr>
      </w:pPr>
    </w:p>
    <w:p w14:paraId="4A92870F" w14:textId="77777777" w:rsidR="0049145D" w:rsidRDefault="0049145D" w:rsidP="0054719F">
      <w:pPr>
        <w:spacing w:after="0"/>
        <w:contextualSpacing/>
        <w:rPr>
          <w:b/>
        </w:rPr>
      </w:pPr>
    </w:p>
    <w:p w14:paraId="72542D47" w14:textId="77777777" w:rsidR="0049145D" w:rsidRDefault="0049145D" w:rsidP="0054719F">
      <w:pPr>
        <w:spacing w:after="0"/>
        <w:contextualSpacing/>
        <w:rPr>
          <w:b/>
        </w:rPr>
      </w:pPr>
    </w:p>
    <w:p w14:paraId="2259ED0A" w14:textId="77777777" w:rsidR="0049145D" w:rsidRDefault="0049145D" w:rsidP="0054719F">
      <w:pPr>
        <w:spacing w:after="0"/>
        <w:contextualSpacing/>
        <w:rPr>
          <w:b/>
        </w:rPr>
      </w:pPr>
    </w:p>
    <w:p w14:paraId="6EE75001" w14:textId="77777777" w:rsidR="0049145D" w:rsidRDefault="0049145D" w:rsidP="0054719F">
      <w:pPr>
        <w:spacing w:after="0"/>
        <w:contextualSpacing/>
        <w:rPr>
          <w:b/>
        </w:rPr>
      </w:pPr>
    </w:p>
    <w:p w14:paraId="3AF5191F" w14:textId="77777777" w:rsidR="0049145D" w:rsidRDefault="0049145D" w:rsidP="0054719F">
      <w:pPr>
        <w:spacing w:after="0"/>
        <w:contextualSpacing/>
        <w:rPr>
          <w:b/>
        </w:rPr>
      </w:pPr>
    </w:p>
    <w:p w14:paraId="67D17D52" w14:textId="77777777" w:rsidR="0049145D" w:rsidRDefault="0049145D" w:rsidP="0054719F">
      <w:pPr>
        <w:spacing w:after="0"/>
        <w:contextualSpacing/>
        <w:rPr>
          <w:b/>
        </w:rPr>
      </w:pPr>
    </w:p>
    <w:p w14:paraId="6AC1A26E" w14:textId="77777777" w:rsidR="0049145D" w:rsidRDefault="0049145D" w:rsidP="0054719F">
      <w:pPr>
        <w:spacing w:after="0"/>
        <w:contextualSpacing/>
        <w:rPr>
          <w:b/>
        </w:rPr>
      </w:pPr>
    </w:p>
    <w:p w14:paraId="21814887" w14:textId="77777777" w:rsidR="0049145D" w:rsidRDefault="0049145D" w:rsidP="0054719F">
      <w:pPr>
        <w:spacing w:after="0"/>
        <w:contextualSpacing/>
        <w:rPr>
          <w:b/>
        </w:rPr>
      </w:pPr>
    </w:p>
    <w:p w14:paraId="77C83277" w14:textId="77777777" w:rsidR="0049145D" w:rsidRDefault="0049145D" w:rsidP="0054719F">
      <w:pPr>
        <w:spacing w:after="0"/>
        <w:contextualSpacing/>
        <w:rPr>
          <w:b/>
        </w:rPr>
      </w:pPr>
    </w:p>
    <w:p w14:paraId="5644EDC0" w14:textId="77777777" w:rsidR="0049145D" w:rsidRDefault="0049145D" w:rsidP="0054719F">
      <w:pPr>
        <w:spacing w:after="0"/>
        <w:contextualSpacing/>
        <w:rPr>
          <w:b/>
        </w:rPr>
      </w:pPr>
    </w:p>
    <w:p w14:paraId="2D61B598" w14:textId="77777777" w:rsidR="0049145D" w:rsidRDefault="0049145D" w:rsidP="0054719F">
      <w:pPr>
        <w:spacing w:after="0"/>
        <w:contextualSpacing/>
        <w:rPr>
          <w:b/>
        </w:rPr>
      </w:pPr>
    </w:p>
    <w:p w14:paraId="18804FB4" w14:textId="77777777" w:rsidR="0049145D" w:rsidRDefault="0049145D" w:rsidP="0054719F">
      <w:pPr>
        <w:spacing w:after="0"/>
        <w:contextualSpacing/>
        <w:rPr>
          <w:b/>
        </w:rPr>
      </w:pPr>
    </w:p>
    <w:p w14:paraId="112502A4" w14:textId="253C9499" w:rsidR="0049145D" w:rsidRPr="0049145D" w:rsidRDefault="00EA65FA" w:rsidP="0049145D">
      <w:pPr>
        <w:spacing w:after="0"/>
        <w:contextualSpacing/>
        <w:jc w:val="center"/>
        <w:rPr>
          <w:sz w:val="44"/>
          <w:szCs w:val="44"/>
        </w:rPr>
      </w:pPr>
      <w:r>
        <w:rPr>
          <w:b/>
          <w:sz w:val="44"/>
          <w:szCs w:val="44"/>
        </w:rPr>
        <w:lastRenderedPageBreak/>
        <w:t>C</w:t>
      </w:r>
      <w:r w:rsidR="0049145D" w:rsidRPr="0049145D">
        <w:rPr>
          <w:b/>
          <w:sz w:val="44"/>
          <w:szCs w:val="44"/>
        </w:rPr>
        <w:t>ourse Schedule</w:t>
      </w:r>
    </w:p>
    <w:tbl>
      <w:tblPr>
        <w:tblStyle w:val="TableGrid"/>
        <w:tblW w:w="0" w:type="auto"/>
        <w:tblLook w:val="04A0" w:firstRow="1" w:lastRow="0" w:firstColumn="1" w:lastColumn="0" w:noHBand="0" w:noVBand="1"/>
      </w:tblPr>
      <w:tblGrid>
        <w:gridCol w:w="535"/>
        <w:gridCol w:w="747"/>
        <w:gridCol w:w="2689"/>
        <w:gridCol w:w="2689"/>
        <w:gridCol w:w="2690"/>
      </w:tblGrid>
      <w:tr w:rsidR="00EA679D" w14:paraId="755E0930" w14:textId="77777777" w:rsidTr="002D600B">
        <w:trPr>
          <w:trHeight w:val="576"/>
        </w:trPr>
        <w:tc>
          <w:tcPr>
            <w:tcW w:w="535" w:type="dxa"/>
            <w:vAlign w:val="center"/>
          </w:tcPr>
          <w:p w14:paraId="43FC9461" w14:textId="77777777" w:rsidR="00EA679D" w:rsidRDefault="00EA679D" w:rsidP="002D600B">
            <w:pPr>
              <w:jc w:val="center"/>
            </w:pPr>
            <w:r>
              <w:t>Wk</w:t>
            </w:r>
          </w:p>
        </w:tc>
        <w:tc>
          <w:tcPr>
            <w:tcW w:w="747" w:type="dxa"/>
            <w:vAlign w:val="center"/>
          </w:tcPr>
          <w:p w14:paraId="4BD52820" w14:textId="77777777" w:rsidR="00EA679D" w:rsidRDefault="00EA679D" w:rsidP="002D600B">
            <w:pPr>
              <w:jc w:val="center"/>
            </w:pPr>
            <w:r>
              <w:t>Day</w:t>
            </w:r>
          </w:p>
        </w:tc>
        <w:tc>
          <w:tcPr>
            <w:tcW w:w="2689" w:type="dxa"/>
            <w:vAlign w:val="center"/>
          </w:tcPr>
          <w:p w14:paraId="4B713A20" w14:textId="77777777" w:rsidR="00EA679D" w:rsidRDefault="00EA679D" w:rsidP="002D600B">
            <w:pPr>
              <w:jc w:val="center"/>
            </w:pPr>
            <w:r>
              <w:t>Topic</w:t>
            </w:r>
          </w:p>
        </w:tc>
        <w:tc>
          <w:tcPr>
            <w:tcW w:w="2689" w:type="dxa"/>
            <w:vAlign w:val="center"/>
          </w:tcPr>
          <w:p w14:paraId="51CFCA0C" w14:textId="77777777" w:rsidR="00EA679D" w:rsidRDefault="00EA679D" w:rsidP="002D600B">
            <w:pPr>
              <w:jc w:val="center"/>
            </w:pPr>
            <w:r>
              <w:t>Reading</w:t>
            </w:r>
          </w:p>
        </w:tc>
        <w:tc>
          <w:tcPr>
            <w:tcW w:w="2690" w:type="dxa"/>
            <w:vAlign w:val="center"/>
          </w:tcPr>
          <w:p w14:paraId="2B8701D5" w14:textId="77777777" w:rsidR="00EA679D" w:rsidRDefault="00EA679D" w:rsidP="002D600B">
            <w:pPr>
              <w:jc w:val="center"/>
            </w:pPr>
            <w:r>
              <w:t>Homework</w:t>
            </w:r>
          </w:p>
        </w:tc>
      </w:tr>
      <w:tr w:rsidR="00EA679D" w14:paraId="6FD72C20" w14:textId="77777777" w:rsidTr="002D600B">
        <w:trPr>
          <w:trHeight w:val="576"/>
        </w:trPr>
        <w:tc>
          <w:tcPr>
            <w:tcW w:w="535" w:type="dxa"/>
            <w:vAlign w:val="center"/>
          </w:tcPr>
          <w:p w14:paraId="33937B36" w14:textId="77777777" w:rsidR="00EA679D" w:rsidRDefault="00EA679D" w:rsidP="002D600B">
            <w:pPr>
              <w:jc w:val="center"/>
            </w:pPr>
            <w:r>
              <w:t>1</w:t>
            </w:r>
          </w:p>
        </w:tc>
        <w:tc>
          <w:tcPr>
            <w:tcW w:w="747" w:type="dxa"/>
            <w:vAlign w:val="center"/>
          </w:tcPr>
          <w:p w14:paraId="3BEA9B5D" w14:textId="77777777" w:rsidR="00EA679D" w:rsidRDefault="00EA679D" w:rsidP="002D600B">
            <w:pPr>
              <w:jc w:val="center"/>
            </w:pPr>
            <w:r>
              <w:t>8/23</w:t>
            </w:r>
          </w:p>
        </w:tc>
        <w:tc>
          <w:tcPr>
            <w:tcW w:w="2689" w:type="dxa"/>
            <w:vAlign w:val="center"/>
          </w:tcPr>
          <w:p w14:paraId="325702F9" w14:textId="77777777" w:rsidR="00EA679D" w:rsidRPr="00335543" w:rsidRDefault="00EA679D" w:rsidP="002D600B">
            <w:pPr>
              <w:jc w:val="center"/>
            </w:pPr>
            <w:r>
              <w:t xml:space="preserve">Intro, </w:t>
            </w:r>
            <w:r>
              <w:rPr>
                <w:i/>
              </w:rPr>
              <w:t>Arrival</w:t>
            </w:r>
          </w:p>
        </w:tc>
        <w:tc>
          <w:tcPr>
            <w:tcW w:w="2689" w:type="dxa"/>
            <w:vAlign w:val="center"/>
          </w:tcPr>
          <w:p w14:paraId="4F19C92C" w14:textId="77777777" w:rsidR="00EA679D" w:rsidRDefault="00EA679D" w:rsidP="002D600B">
            <w:pPr>
              <w:jc w:val="center"/>
            </w:pPr>
          </w:p>
        </w:tc>
        <w:tc>
          <w:tcPr>
            <w:tcW w:w="2690" w:type="dxa"/>
            <w:vAlign w:val="center"/>
          </w:tcPr>
          <w:p w14:paraId="2B477819" w14:textId="77777777" w:rsidR="00EA679D" w:rsidRDefault="00EA679D" w:rsidP="002D600B">
            <w:pPr>
              <w:jc w:val="center"/>
            </w:pPr>
          </w:p>
        </w:tc>
      </w:tr>
      <w:tr w:rsidR="00EA679D" w14:paraId="32443425" w14:textId="77777777" w:rsidTr="002D600B">
        <w:trPr>
          <w:trHeight w:val="576"/>
        </w:trPr>
        <w:tc>
          <w:tcPr>
            <w:tcW w:w="535" w:type="dxa"/>
            <w:vMerge w:val="restart"/>
            <w:vAlign w:val="center"/>
          </w:tcPr>
          <w:p w14:paraId="2CC4A7AF" w14:textId="77777777" w:rsidR="00EA679D" w:rsidRDefault="00EA679D" w:rsidP="002D600B">
            <w:pPr>
              <w:jc w:val="center"/>
            </w:pPr>
            <w:r>
              <w:t>2</w:t>
            </w:r>
          </w:p>
        </w:tc>
        <w:tc>
          <w:tcPr>
            <w:tcW w:w="747" w:type="dxa"/>
            <w:vAlign w:val="center"/>
          </w:tcPr>
          <w:p w14:paraId="0F61B952" w14:textId="77777777" w:rsidR="00EA679D" w:rsidRDefault="00EA679D" w:rsidP="002D600B">
            <w:pPr>
              <w:jc w:val="center"/>
            </w:pPr>
            <w:r>
              <w:t>8/28</w:t>
            </w:r>
          </w:p>
        </w:tc>
        <w:tc>
          <w:tcPr>
            <w:tcW w:w="2689" w:type="dxa"/>
            <w:vAlign w:val="center"/>
          </w:tcPr>
          <w:p w14:paraId="330F42FA" w14:textId="77777777" w:rsidR="00EA679D" w:rsidRPr="00335543" w:rsidRDefault="00EA679D" w:rsidP="002D600B">
            <w:pPr>
              <w:jc w:val="center"/>
            </w:pPr>
            <w:r>
              <w:rPr>
                <w:i/>
              </w:rPr>
              <w:t>Arrival</w:t>
            </w:r>
            <w:r>
              <w:t xml:space="preserve"> cont’d</w:t>
            </w:r>
          </w:p>
        </w:tc>
        <w:tc>
          <w:tcPr>
            <w:tcW w:w="2689" w:type="dxa"/>
            <w:vAlign w:val="center"/>
          </w:tcPr>
          <w:p w14:paraId="6B892F88" w14:textId="77777777" w:rsidR="00EA679D" w:rsidRDefault="00EA679D" w:rsidP="002D600B">
            <w:pPr>
              <w:jc w:val="center"/>
            </w:pPr>
            <w:r>
              <w:t xml:space="preserve">Read Baker, from </w:t>
            </w:r>
            <w:r>
              <w:rPr>
                <w:i/>
              </w:rPr>
              <w:t>The Atoms of Language</w:t>
            </w:r>
          </w:p>
        </w:tc>
        <w:tc>
          <w:tcPr>
            <w:tcW w:w="2690" w:type="dxa"/>
            <w:vAlign w:val="center"/>
          </w:tcPr>
          <w:p w14:paraId="08F175E3" w14:textId="77777777" w:rsidR="00EA679D" w:rsidRDefault="00EA679D" w:rsidP="002D600B">
            <w:pPr>
              <w:jc w:val="center"/>
            </w:pPr>
            <w:r>
              <w:t>Baker Summary/Response</w:t>
            </w:r>
          </w:p>
        </w:tc>
      </w:tr>
      <w:tr w:rsidR="00EA679D" w14:paraId="6211AE19" w14:textId="77777777" w:rsidTr="002D600B">
        <w:trPr>
          <w:trHeight w:val="576"/>
        </w:trPr>
        <w:tc>
          <w:tcPr>
            <w:tcW w:w="535" w:type="dxa"/>
            <w:vMerge/>
            <w:vAlign w:val="center"/>
          </w:tcPr>
          <w:p w14:paraId="7D914F7F" w14:textId="77777777" w:rsidR="00EA679D" w:rsidRDefault="00EA679D" w:rsidP="002D600B">
            <w:pPr>
              <w:jc w:val="center"/>
            </w:pPr>
          </w:p>
        </w:tc>
        <w:tc>
          <w:tcPr>
            <w:tcW w:w="747" w:type="dxa"/>
            <w:vAlign w:val="center"/>
          </w:tcPr>
          <w:p w14:paraId="4AA3B618" w14:textId="77777777" w:rsidR="00EA679D" w:rsidRDefault="00EA679D" w:rsidP="002D600B">
            <w:pPr>
              <w:jc w:val="center"/>
            </w:pPr>
            <w:r>
              <w:t>8/30</w:t>
            </w:r>
          </w:p>
        </w:tc>
        <w:tc>
          <w:tcPr>
            <w:tcW w:w="2689" w:type="dxa"/>
            <w:vAlign w:val="center"/>
          </w:tcPr>
          <w:p w14:paraId="058D9369" w14:textId="77777777" w:rsidR="00EA679D" w:rsidRPr="00335543" w:rsidRDefault="00EA679D" w:rsidP="002D600B">
            <w:pPr>
              <w:jc w:val="center"/>
            </w:pPr>
            <w:r>
              <w:rPr>
                <w:i/>
              </w:rPr>
              <w:t>Arrival</w:t>
            </w:r>
            <w:r>
              <w:t xml:space="preserve"> Review and Wrap-Up</w:t>
            </w:r>
          </w:p>
        </w:tc>
        <w:tc>
          <w:tcPr>
            <w:tcW w:w="2689" w:type="dxa"/>
            <w:vAlign w:val="center"/>
          </w:tcPr>
          <w:p w14:paraId="235CCAB5" w14:textId="77777777" w:rsidR="00EA679D" w:rsidRDefault="00EA679D" w:rsidP="002D600B">
            <w:pPr>
              <w:jc w:val="center"/>
            </w:pPr>
            <w:r>
              <w:t>Read Pinker, “Mentalese”</w:t>
            </w:r>
          </w:p>
        </w:tc>
        <w:tc>
          <w:tcPr>
            <w:tcW w:w="2690" w:type="dxa"/>
            <w:vAlign w:val="center"/>
          </w:tcPr>
          <w:p w14:paraId="39D957FF" w14:textId="77777777" w:rsidR="00EA679D" w:rsidRDefault="00EA679D" w:rsidP="002D600B">
            <w:pPr>
              <w:jc w:val="center"/>
            </w:pPr>
            <w:r>
              <w:t>Pinker Summary/Response</w:t>
            </w:r>
          </w:p>
        </w:tc>
      </w:tr>
      <w:tr w:rsidR="00EA679D" w14:paraId="3D182C91" w14:textId="77777777" w:rsidTr="002D600B">
        <w:trPr>
          <w:trHeight w:val="576"/>
        </w:trPr>
        <w:tc>
          <w:tcPr>
            <w:tcW w:w="535" w:type="dxa"/>
            <w:vMerge w:val="restart"/>
            <w:vAlign w:val="center"/>
          </w:tcPr>
          <w:p w14:paraId="5B50D477" w14:textId="77777777" w:rsidR="00EA679D" w:rsidRDefault="00EA679D" w:rsidP="002D600B">
            <w:pPr>
              <w:jc w:val="center"/>
            </w:pPr>
            <w:r>
              <w:t>3</w:t>
            </w:r>
          </w:p>
        </w:tc>
        <w:tc>
          <w:tcPr>
            <w:tcW w:w="747" w:type="dxa"/>
            <w:vAlign w:val="center"/>
          </w:tcPr>
          <w:p w14:paraId="46F3BBD6" w14:textId="77777777" w:rsidR="00EA679D" w:rsidRDefault="00EA679D" w:rsidP="002D600B">
            <w:pPr>
              <w:jc w:val="center"/>
            </w:pPr>
            <w:r>
              <w:t>9/2</w:t>
            </w:r>
          </w:p>
        </w:tc>
        <w:tc>
          <w:tcPr>
            <w:tcW w:w="2689" w:type="dxa"/>
            <w:vAlign w:val="center"/>
          </w:tcPr>
          <w:p w14:paraId="0F79DC15" w14:textId="77777777" w:rsidR="00EA679D" w:rsidRPr="00DB4276" w:rsidRDefault="00EA679D" w:rsidP="002D600B">
            <w:pPr>
              <w:jc w:val="center"/>
            </w:pPr>
            <w:r>
              <w:t>Parts of Speech</w:t>
            </w:r>
          </w:p>
        </w:tc>
        <w:tc>
          <w:tcPr>
            <w:tcW w:w="2689" w:type="dxa"/>
            <w:vAlign w:val="center"/>
          </w:tcPr>
          <w:p w14:paraId="50FCD537" w14:textId="77777777" w:rsidR="00EA679D" w:rsidRPr="00321810" w:rsidRDefault="00EA679D" w:rsidP="002D600B">
            <w:pPr>
              <w:jc w:val="center"/>
            </w:pPr>
            <w:r>
              <w:rPr>
                <w:i/>
              </w:rPr>
              <w:t>Understanding English Grammar</w:t>
            </w:r>
            <w:r>
              <w:t>, Chapter 2</w:t>
            </w:r>
          </w:p>
        </w:tc>
        <w:tc>
          <w:tcPr>
            <w:tcW w:w="2690" w:type="dxa"/>
            <w:vAlign w:val="center"/>
          </w:tcPr>
          <w:p w14:paraId="0E8C72AE" w14:textId="77777777" w:rsidR="00EA679D" w:rsidRDefault="00EA679D" w:rsidP="002D600B">
            <w:pPr>
              <w:jc w:val="center"/>
            </w:pPr>
          </w:p>
        </w:tc>
      </w:tr>
      <w:tr w:rsidR="00EA679D" w14:paraId="64B980F0" w14:textId="77777777" w:rsidTr="002D600B">
        <w:trPr>
          <w:trHeight w:val="576"/>
        </w:trPr>
        <w:tc>
          <w:tcPr>
            <w:tcW w:w="535" w:type="dxa"/>
            <w:vMerge/>
            <w:vAlign w:val="center"/>
          </w:tcPr>
          <w:p w14:paraId="637288B8" w14:textId="77777777" w:rsidR="00EA679D" w:rsidRDefault="00EA679D" w:rsidP="002D600B">
            <w:pPr>
              <w:jc w:val="center"/>
            </w:pPr>
          </w:p>
        </w:tc>
        <w:tc>
          <w:tcPr>
            <w:tcW w:w="747" w:type="dxa"/>
            <w:vAlign w:val="center"/>
          </w:tcPr>
          <w:p w14:paraId="3BF3F713" w14:textId="77777777" w:rsidR="00EA679D" w:rsidRDefault="00EA679D" w:rsidP="002D600B">
            <w:pPr>
              <w:jc w:val="center"/>
            </w:pPr>
            <w:r>
              <w:t>9/4</w:t>
            </w:r>
          </w:p>
        </w:tc>
        <w:tc>
          <w:tcPr>
            <w:tcW w:w="2689" w:type="dxa"/>
            <w:vAlign w:val="center"/>
          </w:tcPr>
          <w:p w14:paraId="195A73E3" w14:textId="77777777" w:rsidR="00EA679D" w:rsidRDefault="00EA679D" w:rsidP="002D600B">
            <w:pPr>
              <w:jc w:val="center"/>
            </w:pPr>
            <w:r>
              <w:t>Parts of Speech cont’d</w:t>
            </w:r>
          </w:p>
        </w:tc>
        <w:tc>
          <w:tcPr>
            <w:tcW w:w="2689" w:type="dxa"/>
            <w:vAlign w:val="center"/>
          </w:tcPr>
          <w:p w14:paraId="3E1C9917" w14:textId="77777777" w:rsidR="00EA679D" w:rsidRDefault="00EA679D" w:rsidP="002D600B">
            <w:pPr>
              <w:jc w:val="center"/>
            </w:pPr>
          </w:p>
        </w:tc>
        <w:tc>
          <w:tcPr>
            <w:tcW w:w="2690" w:type="dxa"/>
            <w:vAlign w:val="center"/>
          </w:tcPr>
          <w:p w14:paraId="6A29E816" w14:textId="77777777" w:rsidR="00EA679D" w:rsidRDefault="00EA679D" w:rsidP="002D600B">
            <w:pPr>
              <w:jc w:val="center"/>
            </w:pPr>
          </w:p>
        </w:tc>
      </w:tr>
      <w:tr w:rsidR="00EA679D" w14:paraId="1085F92D" w14:textId="77777777" w:rsidTr="002D600B">
        <w:trPr>
          <w:trHeight w:val="576"/>
        </w:trPr>
        <w:tc>
          <w:tcPr>
            <w:tcW w:w="535" w:type="dxa"/>
            <w:vMerge w:val="restart"/>
            <w:vAlign w:val="center"/>
          </w:tcPr>
          <w:p w14:paraId="3B945513" w14:textId="77777777" w:rsidR="00EA679D" w:rsidRDefault="00EA679D" w:rsidP="002D600B">
            <w:pPr>
              <w:jc w:val="center"/>
            </w:pPr>
            <w:r>
              <w:t>4</w:t>
            </w:r>
          </w:p>
        </w:tc>
        <w:tc>
          <w:tcPr>
            <w:tcW w:w="747" w:type="dxa"/>
            <w:vAlign w:val="center"/>
          </w:tcPr>
          <w:p w14:paraId="4490843B" w14:textId="77777777" w:rsidR="00EA679D" w:rsidRDefault="00EA679D" w:rsidP="002D600B">
            <w:pPr>
              <w:jc w:val="center"/>
            </w:pPr>
            <w:r>
              <w:t>9/11</w:t>
            </w:r>
          </w:p>
        </w:tc>
        <w:tc>
          <w:tcPr>
            <w:tcW w:w="2689" w:type="dxa"/>
            <w:vAlign w:val="center"/>
          </w:tcPr>
          <w:p w14:paraId="772DAC76" w14:textId="77777777" w:rsidR="00EA679D" w:rsidRDefault="00EA679D" w:rsidP="002D600B">
            <w:pPr>
              <w:jc w:val="center"/>
            </w:pPr>
            <w:r>
              <w:t>Phrases and Clauses</w:t>
            </w:r>
          </w:p>
        </w:tc>
        <w:tc>
          <w:tcPr>
            <w:tcW w:w="2689" w:type="dxa"/>
            <w:vAlign w:val="center"/>
          </w:tcPr>
          <w:p w14:paraId="2E3E33B0" w14:textId="77777777" w:rsidR="00EA679D" w:rsidRPr="00321810" w:rsidRDefault="00EA679D" w:rsidP="002D600B">
            <w:pPr>
              <w:jc w:val="center"/>
            </w:pPr>
            <w:r>
              <w:rPr>
                <w:i/>
              </w:rPr>
              <w:t>The Teacher’s Grammar of English</w:t>
            </w:r>
            <w:r>
              <w:t>, Chapter 2</w:t>
            </w:r>
          </w:p>
        </w:tc>
        <w:tc>
          <w:tcPr>
            <w:tcW w:w="2690" w:type="dxa"/>
            <w:vAlign w:val="center"/>
          </w:tcPr>
          <w:p w14:paraId="2351B47E" w14:textId="77777777" w:rsidR="00EA679D" w:rsidRDefault="00EA679D" w:rsidP="002D600B">
            <w:pPr>
              <w:jc w:val="center"/>
            </w:pPr>
          </w:p>
        </w:tc>
      </w:tr>
      <w:tr w:rsidR="00EA679D" w14:paraId="284F6B8E" w14:textId="77777777" w:rsidTr="002D600B">
        <w:trPr>
          <w:trHeight w:val="576"/>
        </w:trPr>
        <w:tc>
          <w:tcPr>
            <w:tcW w:w="535" w:type="dxa"/>
            <w:vMerge/>
            <w:vAlign w:val="center"/>
          </w:tcPr>
          <w:p w14:paraId="7EB4FE0C" w14:textId="77777777" w:rsidR="00EA679D" w:rsidRDefault="00EA679D" w:rsidP="002D600B">
            <w:pPr>
              <w:jc w:val="center"/>
            </w:pPr>
          </w:p>
        </w:tc>
        <w:tc>
          <w:tcPr>
            <w:tcW w:w="747" w:type="dxa"/>
            <w:vAlign w:val="center"/>
          </w:tcPr>
          <w:p w14:paraId="0083163D" w14:textId="77777777" w:rsidR="00EA679D" w:rsidRDefault="00EA679D" w:rsidP="002D600B">
            <w:pPr>
              <w:jc w:val="center"/>
            </w:pPr>
            <w:r>
              <w:t>9/13</w:t>
            </w:r>
          </w:p>
        </w:tc>
        <w:tc>
          <w:tcPr>
            <w:tcW w:w="2689" w:type="dxa"/>
            <w:vAlign w:val="center"/>
          </w:tcPr>
          <w:p w14:paraId="3FF8C9A6" w14:textId="77777777" w:rsidR="00EA679D" w:rsidRDefault="00EA679D" w:rsidP="002D600B">
            <w:pPr>
              <w:jc w:val="center"/>
            </w:pPr>
            <w:r>
              <w:t>Subject Noun Phrases</w:t>
            </w:r>
          </w:p>
        </w:tc>
        <w:tc>
          <w:tcPr>
            <w:tcW w:w="2689" w:type="dxa"/>
            <w:vAlign w:val="center"/>
          </w:tcPr>
          <w:p w14:paraId="465CB494" w14:textId="77777777" w:rsidR="00EA679D" w:rsidRPr="00321810" w:rsidRDefault="00EA679D" w:rsidP="002D600B">
            <w:pPr>
              <w:jc w:val="center"/>
            </w:pPr>
            <w:r>
              <w:rPr>
                <w:i/>
              </w:rPr>
              <w:t>The Grammar Book</w:t>
            </w:r>
            <w:r>
              <w:t>, pp. 77-84</w:t>
            </w:r>
          </w:p>
        </w:tc>
        <w:tc>
          <w:tcPr>
            <w:tcW w:w="2690" w:type="dxa"/>
            <w:vAlign w:val="center"/>
          </w:tcPr>
          <w:p w14:paraId="6D887DCF" w14:textId="77777777" w:rsidR="00EA679D" w:rsidRDefault="00EA679D" w:rsidP="002D600B">
            <w:pPr>
              <w:jc w:val="center"/>
            </w:pPr>
          </w:p>
        </w:tc>
      </w:tr>
      <w:tr w:rsidR="00EA679D" w14:paraId="1822FD16" w14:textId="77777777" w:rsidTr="002D600B">
        <w:trPr>
          <w:trHeight w:val="576"/>
        </w:trPr>
        <w:tc>
          <w:tcPr>
            <w:tcW w:w="535" w:type="dxa"/>
            <w:vMerge w:val="restart"/>
            <w:vAlign w:val="center"/>
          </w:tcPr>
          <w:p w14:paraId="09DDFC15" w14:textId="77777777" w:rsidR="00EA679D" w:rsidRDefault="00EA679D" w:rsidP="002D600B">
            <w:pPr>
              <w:jc w:val="center"/>
            </w:pPr>
            <w:r>
              <w:t>5</w:t>
            </w:r>
          </w:p>
        </w:tc>
        <w:tc>
          <w:tcPr>
            <w:tcW w:w="747" w:type="dxa"/>
            <w:vAlign w:val="center"/>
          </w:tcPr>
          <w:p w14:paraId="241C6EC6" w14:textId="77777777" w:rsidR="00EA679D" w:rsidRDefault="00EA679D" w:rsidP="002D600B">
            <w:pPr>
              <w:jc w:val="center"/>
            </w:pPr>
            <w:r>
              <w:t>9/18</w:t>
            </w:r>
          </w:p>
        </w:tc>
        <w:tc>
          <w:tcPr>
            <w:tcW w:w="2689" w:type="dxa"/>
            <w:vAlign w:val="center"/>
          </w:tcPr>
          <w:p w14:paraId="71D25DCB" w14:textId="77777777" w:rsidR="00EA679D" w:rsidRDefault="00EA679D" w:rsidP="002D600B">
            <w:pPr>
              <w:jc w:val="center"/>
            </w:pPr>
            <w:r>
              <w:t>Predicate VP and AUX</w:t>
            </w:r>
          </w:p>
        </w:tc>
        <w:tc>
          <w:tcPr>
            <w:tcW w:w="2689" w:type="dxa"/>
            <w:vAlign w:val="center"/>
          </w:tcPr>
          <w:p w14:paraId="2E6539F8" w14:textId="77777777" w:rsidR="00EA679D" w:rsidRPr="00321810" w:rsidRDefault="00EA679D" w:rsidP="002D600B">
            <w:pPr>
              <w:jc w:val="center"/>
            </w:pPr>
            <w:r>
              <w:rPr>
                <w:i/>
              </w:rPr>
              <w:t>The Grammar Book</w:t>
            </w:r>
            <w:r>
              <w:t>, pp. 89-94</w:t>
            </w:r>
          </w:p>
        </w:tc>
        <w:tc>
          <w:tcPr>
            <w:tcW w:w="2690" w:type="dxa"/>
            <w:vAlign w:val="center"/>
          </w:tcPr>
          <w:p w14:paraId="7C6DB76E" w14:textId="77777777" w:rsidR="00EA679D" w:rsidRDefault="00EA679D" w:rsidP="002D600B">
            <w:pPr>
              <w:jc w:val="center"/>
            </w:pPr>
          </w:p>
        </w:tc>
      </w:tr>
      <w:tr w:rsidR="00EA679D" w14:paraId="5D151D5C" w14:textId="77777777" w:rsidTr="002D600B">
        <w:trPr>
          <w:trHeight w:val="576"/>
        </w:trPr>
        <w:tc>
          <w:tcPr>
            <w:tcW w:w="535" w:type="dxa"/>
            <w:vMerge/>
            <w:vAlign w:val="center"/>
          </w:tcPr>
          <w:p w14:paraId="1153EDDE" w14:textId="77777777" w:rsidR="00EA679D" w:rsidRDefault="00EA679D" w:rsidP="002D600B">
            <w:pPr>
              <w:jc w:val="center"/>
            </w:pPr>
          </w:p>
        </w:tc>
        <w:tc>
          <w:tcPr>
            <w:tcW w:w="747" w:type="dxa"/>
            <w:vAlign w:val="center"/>
          </w:tcPr>
          <w:p w14:paraId="5BD90BF4" w14:textId="77777777" w:rsidR="00EA679D" w:rsidRDefault="00EA679D" w:rsidP="002D600B">
            <w:pPr>
              <w:jc w:val="center"/>
            </w:pPr>
            <w:r>
              <w:t>9/20</w:t>
            </w:r>
          </w:p>
        </w:tc>
        <w:tc>
          <w:tcPr>
            <w:tcW w:w="2689" w:type="dxa"/>
            <w:vAlign w:val="center"/>
          </w:tcPr>
          <w:p w14:paraId="30AC7339" w14:textId="26156C34" w:rsidR="00EA679D" w:rsidRDefault="005D6D1E" w:rsidP="002D600B">
            <w:pPr>
              <w:jc w:val="center"/>
            </w:pPr>
            <w:r>
              <w:t>Review and Practice</w:t>
            </w:r>
          </w:p>
        </w:tc>
        <w:tc>
          <w:tcPr>
            <w:tcW w:w="2689" w:type="dxa"/>
            <w:vAlign w:val="center"/>
          </w:tcPr>
          <w:p w14:paraId="62CD148B" w14:textId="77777777" w:rsidR="00EA679D" w:rsidRDefault="00EA679D" w:rsidP="002D600B">
            <w:pPr>
              <w:jc w:val="center"/>
            </w:pPr>
          </w:p>
        </w:tc>
        <w:tc>
          <w:tcPr>
            <w:tcW w:w="2690" w:type="dxa"/>
            <w:vAlign w:val="center"/>
          </w:tcPr>
          <w:p w14:paraId="3E39A256" w14:textId="77777777" w:rsidR="00EA679D" w:rsidRDefault="00EA679D" w:rsidP="002D600B">
            <w:pPr>
              <w:jc w:val="center"/>
            </w:pPr>
            <w:r>
              <w:t>Problem Set 1</w:t>
            </w:r>
          </w:p>
          <w:p w14:paraId="7099F33B" w14:textId="441595CF" w:rsidR="005D6D1E" w:rsidRDefault="005D6D1E" w:rsidP="002D600B">
            <w:pPr>
              <w:jc w:val="center"/>
            </w:pPr>
            <w:r>
              <w:t>Assign LRP Grammar</w:t>
            </w:r>
          </w:p>
        </w:tc>
      </w:tr>
      <w:tr w:rsidR="00EA679D" w14:paraId="1EE2395A" w14:textId="77777777" w:rsidTr="002D600B">
        <w:trPr>
          <w:trHeight w:val="576"/>
        </w:trPr>
        <w:tc>
          <w:tcPr>
            <w:tcW w:w="535" w:type="dxa"/>
            <w:vMerge w:val="restart"/>
            <w:vAlign w:val="center"/>
          </w:tcPr>
          <w:p w14:paraId="0E14473D" w14:textId="77777777" w:rsidR="00EA679D" w:rsidRDefault="00EA679D" w:rsidP="002D600B">
            <w:pPr>
              <w:jc w:val="center"/>
            </w:pPr>
            <w:r>
              <w:t>6</w:t>
            </w:r>
          </w:p>
        </w:tc>
        <w:tc>
          <w:tcPr>
            <w:tcW w:w="747" w:type="dxa"/>
            <w:vAlign w:val="center"/>
          </w:tcPr>
          <w:p w14:paraId="3AFDA974" w14:textId="77777777" w:rsidR="00EA679D" w:rsidRDefault="00EA679D" w:rsidP="002D600B">
            <w:pPr>
              <w:jc w:val="center"/>
            </w:pPr>
            <w:r>
              <w:t>9/25</w:t>
            </w:r>
          </w:p>
        </w:tc>
        <w:tc>
          <w:tcPr>
            <w:tcW w:w="2689" w:type="dxa"/>
            <w:vAlign w:val="center"/>
          </w:tcPr>
          <w:p w14:paraId="305AAD1F" w14:textId="1AF84ACE" w:rsidR="00EA679D" w:rsidRDefault="00EA679D" w:rsidP="002D600B">
            <w:pPr>
              <w:jc w:val="center"/>
            </w:pPr>
            <w:r w:rsidRPr="00335543">
              <w:rPr>
                <w:highlight w:val="yellow"/>
              </w:rPr>
              <w:t>Quiz 1</w:t>
            </w:r>
          </w:p>
        </w:tc>
        <w:tc>
          <w:tcPr>
            <w:tcW w:w="2689" w:type="dxa"/>
            <w:vAlign w:val="center"/>
          </w:tcPr>
          <w:p w14:paraId="21B039E8" w14:textId="77777777" w:rsidR="00EA679D" w:rsidRDefault="00EA679D" w:rsidP="002D600B">
            <w:pPr>
              <w:jc w:val="center"/>
            </w:pPr>
          </w:p>
        </w:tc>
        <w:tc>
          <w:tcPr>
            <w:tcW w:w="2690" w:type="dxa"/>
            <w:vAlign w:val="center"/>
          </w:tcPr>
          <w:p w14:paraId="00AA433D" w14:textId="77777777" w:rsidR="00EA679D" w:rsidRDefault="00EA679D" w:rsidP="002D600B">
            <w:pPr>
              <w:jc w:val="center"/>
            </w:pPr>
          </w:p>
        </w:tc>
      </w:tr>
      <w:tr w:rsidR="00EA679D" w14:paraId="0CDF574B" w14:textId="77777777" w:rsidTr="002D600B">
        <w:trPr>
          <w:trHeight w:val="576"/>
        </w:trPr>
        <w:tc>
          <w:tcPr>
            <w:tcW w:w="535" w:type="dxa"/>
            <w:vMerge/>
            <w:vAlign w:val="center"/>
          </w:tcPr>
          <w:p w14:paraId="67BF0264" w14:textId="77777777" w:rsidR="00EA679D" w:rsidRDefault="00EA679D" w:rsidP="002D600B">
            <w:pPr>
              <w:jc w:val="center"/>
            </w:pPr>
          </w:p>
        </w:tc>
        <w:tc>
          <w:tcPr>
            <w:tcW w:w="747" w:type="dxa"/>
            <w:vAlign w:val="center"/>
          </w:tcPr>
          <w:p w14:paraId="25CBB3B9" w14:textId="77777777" w:rsidR="00EA679D" w:rsidRDefault="00EA679D" w:rsidP="002D600B">
            <w:pPr>
              <w:jc w:val="center"/>
            </w:pPr>
            <w:r>
              <w:t>9/27</w:t>
            </w:r>
          </w:p>
        </w:tc>
        <w:tc>
          <w:tcPr>
            <w:tcW w:w="2689" w:type="dxa"/>
            <w:vAlign w:val="center"/>
          </w:tcPr>
          <w:p w14:paraId="12BA85E5" w14:textId="77777777" w:rsidR="00EA679D" w:rsidRDefault="00EA679D" w:rsidP="002D600B">
            <w:pPr>
              <w:jc w:val="center"/>
            </w:pPr>
            <w:r>
              <w:t>Tense and Aspect</w:t>
            </w:r>
          </w:p>
        </w:tc>
        <w:tc>
          <w:tcPr>
            <w:tcW w:w="2689" w:type="dxa"/>
            <w:vAlign w:val="center"/>
          </w:tcPr>
          <w:p w14:paraId="18AF52D3" w14:textId="77777777" w:rsidR="00EA679D" w:rsidRPr="00321810" w:rsidRDefault="00EA679D" w:rsidP="002D600B">
            <w:pPr>
              <w:jc w:val="center"/>
            </w:pPr>
            <w:r>
              <w:rPr>
                <w:i/>
              </w:rPr>
              <w:t>The Only Grammar Book You’ll Ever Need</w:t>
            </w:r>
            <w:r>
              <w:t>, pp. 57-59</w:t>
            </w:r>
          </w:p>
        </w:tc>
        <w:tc>
          <w:tcPr>
            <w:tcW w:w="2690" w:type="dxa"/>
            <w:vAlign w:val="center"/>
          </w:tcPr>
          <w:p w14:paraId="190917B6" w14:textId="77777777" w:rsidR="00EA679D" w:rsidRDefault="00EA679D" w:rsidP="002D600B">
            <w:pPr>
              <w:jc w:val="center"/>
            </w:pPr>
          </w:p>
        </w:tc>
      </w:tr>
      <w:tr w:rsidR="00EA679D" w14:paraId="478D20DA" w14:textId="77777777" w:rsidTr="002D600B">
        <w:trPr>
          <w:trHeight w:val="576"/>
        </w:trPr>
        <w:tc>
          <w:tcPr>
            <w:tcW w:w="535" w:type="dxa"/>
            <w:vMerge w:val="restart"/>
            <w:vAlign w:val="center"/>
          </w:tcPr>
          <w:p w14:paraId="6F24983B" w14:textId="77777777" w:rsidR="00EA679D" w:rsidRDefault="00EA679D" w:rsidP="002D600B">
            <w:pPr>
              <w:jc w:val="center"/>
            </w:pPr>
            <w:r>
              <w:t>7</w:t>
            </w:r>
          </w:p>
        </w:tc>
        <w:tc>
          <w:tcPr>
            <w:tcW w:w="747" w:type="dxa"/>
            <w:vAlign w:val="center"/>
          </w:tcPr>
          <w:p w14:paraId="69F11447" w14:textId="77777777" w:rsidR="00EA679D" w:rsidRDefault="00EA679D" w:rsidP="002D600B">
            <w:pPr>
              <w:jc w:val="center"/>
            </w:pPr>
            <w:r>
              <w:t>10/2</w:t>
            </w:r>
          </w:p>
        </w:tc>
        <w:tc>
          <w:tcPr>
            <w:tcW w:w="2689" w:type="dxa"/>
            <w:vAlign w:val="center"/>
          </w:tcPr>
          <w:p w14:paraId="60A3E9F1" w14:textId="77777777" w:rsidR="00EA679D" w:rsidRDefault="00EA679D" w:rsidP="002D600B">
            <w:pPr>
              <w:jc w:val="center"/>
            </w:pPr>
            <w:r>
              <w:t>Tense and Aspect cont’d</w:t>
            </w:r>
          </w:p>
        </w:tc>
        <w:tc>
          <w:tcPr>
            <w:tcW w:w="2689" w:type="dxa"/>
            <w:vAlign w:val="center"/>
          </w:tcPr>
          <w:p w14:paraId="0B52AFF3" w14:textId="77777777" w:rsidR="00EA679D" w:rsidRDefault="00EA679D" w:rsidP="002D600B">
            <w:pPr>
              <w:jc w:val="center"/>
            </w:pPr>
            <w:r>
              <w:rPr>
                <w:i/>
              </w:rPr>
              <w:t>TGB</w:t>
            </w:r>
            <w:r>
              <w:t>, pp. 106-116</w:t>
            </w:r>
          </w:p>
        </w:tc>
        <w:tc>
          <w:tcPr>
            <w:tcW w:w="2690" w:type="dxa"/>
            <w:vAlign w:val="center"/>
          </w:tcPr>
          <w:p w14:paraId="7E34B83E" w14:textId="1F434636" w:rsidR="00EA679D" w:rsidRDefault="00C95330" w:rsidP="002D600B">
            <w:pPr>
              <w:jc w:val="center"/>
            </w:pPr>
            <w:r w:rsidRPr="00C95330">
              <w:rPr>
                <w:highlight w:val="cyan"/>
              </w:rPr>
              <w:t>LRP A: Form</w:t>
            </w:r>
          </w:p>
        </w:tc>
      </w:tr>
      <w:tr w:rsidR="00EA679D" w14:paraId="1180B841" w14:textId="77777777" w:rsidTr="002D600B">
        <w:trPr>
          <w:trHeight w:val="576"/>
        </w:trPr>
        <w:tc>
          <w:tcPr>
            <w:tcW w:w="535" w:type="dxa"/>
            <w:vMerge/>
            <w:vAlign w:val="center"/>
          </w:tcPr>
          <w:p w14:paraId="0C322EA1" w14:textId="77777777" w:rsidR="00EA679D" w:rsidRDefault="00EA679D" w:rsidP="002D600B">
            <w:pPr>
              <w:jc w:val="center"/>
            </w:pPr>
          </w:p>
        </w:tc>
        <w:tc>
          <w:tcPr>
            <w:tcW w:w="747" w:type="dxa"/>
            <w:vAlign w:val="center"/>
          </w:tcPr>
          <w:p w14:paraId="7C338B62" w14:textId="77777777" w:rsidR="00EA679D" w:rsidRDefault="00EA679D" w:rsidP="002D600B">
            <w:pPr>
              <w:jc w:val="center"/>
            </w:pPr>
            <w:r>
              <w:t>10/4</w:t>
            </w:r>
          </w:p>
        </w:tc>
        <w:tc>
          <w:tcPr>
            <w:tcW w:w="2689" w:type="dxa"/>
            <w:vAlign w:val="center"/>
          </w:tcPr>
          <w:p w14:paraId="607737F2" w14:textId="59DFAE5A" w:rsidR="00EA679D" w:rsidRDefault="005D6D1E" w:rsidP="005D6D1E">
            <w:pPr>
              <w:jc w:val="center"/>
            </w:pPr>
            <w:r>
              <w:t xml:space="preserve">Adverbials and DOs </w:t>
            </w:r>
          </w:p>
        </w:tc>
        <w:tc>
          <w:tcPr>
            <w:tcW w:w="2689" w:type="dxa"/>
            <w:vAlign w:val="center"/>
          </w:tcPr>
          <w:p w14:paraId="58AA16CE" w14:textId="3864F9A1" w:rsidR="00EA679D" w:rsidRDefault="005D6D1E" w:rsidP="002D600B">
            <w:pPr>
              <w:jc w:val="center"/>
            </w:pPr>
            <w:r>
              <w:rPr>
                <w:i/>
              </w:rPr>
              <w:t>TGB</w:t>
            </w:r>
            <w:r>
              <w:t xml:space="preserve"> pp. 94-96, pp. 512-516</w:t>
            </w:r>
          </w:p>
        </w:tc>
        <w:tc>
          <w:tcPr>
            <w:tcW w:w="2690" w:type="dxa"/>
            <w:vAlign w:val="center"/>
          </w:tcPr>
          <w:p w14:paraId="1039B927" w14:textId="728ACC41" w:rsidR="00EA679D" w:rsidRDefault="00EA679D" w:rsidP="002D600B">
            <w:pPr>
              <w:jc w:val="center"/>
            </w:pPr>
          </w:p>
        </w:tc>
      </w:tr>
      <w:tr w:rsidR="005D6D1E" w14:paraId="3690D710" w14:textId="77777777" w:rsidTr="002D600B">
        <w:trPr>
          <w:trHeight w:val="576"/>
        </w:trPr>
        <w:tc>
          <w:tcPr>
            <w:tcW w:w="535" w:type="dxa"/>
            <w:vMerge w:val="restart"/>
            <w:vAlign w:val="center"/>
          </w:tcPr>
          <w:p w14:paraId="12295A1A" w14:textId="77777777" w:rsidR="005D6D1E" w:rsidRDefault="005D6D1E" w:rsidP="005D6D1E">
            <w:pPr>
              <w:jc w:val="center"/>
            </w:pPr>
            <w:r>
              <w:t>8</w:t>
            </w:r>
          </w:p>
        </w:tc>
        <w:tc>
          <w:tcPr>
            <w:tcW w:w="747" w:type="dxa"/>
            <w:vAlign w:val="center"/>
          </w:tcPr>
          <w:p w14:paraId="57724BAB" w14:textId="77777777" w:rsidR="005D6D1E" w:rsidRDefault="005D6D1E" w:rsidP="005D6D1E">
            <w:pPr>
              <w:jc w:val="center"/>
            </w:pPr>
            <w:r>
              <w:t>10/9</w:t>
            </w:r>
          </w:p>
        </w:tc>
        <w:tc>
          <w:tcPr>
            <w:tcW w:w="2689" w:type="dxa"/>
            <w:vAlign w:val="center"/>
          </w:tcPr>
          <w:p w14:paraId="56CDD01D" w14:textId="4FD6F1BF" w:rsidR="005D6D1E" w:rsidRDefault="005D6D1E" w:rsidP="005D6D1E">
            <w:pPr>
              <w:jc w:val="center"/>
            </w:pPr>
            <w:r>
              <w:t xml:space="preserve">Modal Auxiliaries and Phrasals </w:t>
            </w:r>
          </w:p>
        </w:tc>
        <w:tc>
          <w:tcPr>
            <w:tcW w:w="2689" w:type="dxa"/>
            <w:vAlign w:val="center"/>
          </w:tcPr>
          <w:p w14:paraId="30B5BF14" w14:textId="0404FA3E" w:rsidR="005D6D1E" w:rsidRPr="00321810" w:rsidRDefault="005D6D1E" w:rsidP="005D6D1E">
            <w:pPr>
              <w:jc w:val="center"/>
            </w:pPr>
            <w:r>
              <w:rPr>
                <w:i/>
              </w:rPr>
              <w:t xml:space="preserve">TGB </w:t>
            </w:r>
            <w:r>
              <w:t>pp. 137-141</w:t>
            </w:r>
          </w:p>
        </w:tc>
        <w:tc>
          <w:tcPr>
            <w:tcW w:w="2690" w:type="dxa"/>
            <w:vAlign w:val="center"/>
          </w:tcPr>
          <w:p w14:paraId="4770343D" w14:textId="6CFC7D12" w:rsidR="005D6D1E" w:rsidRDefault="005D6D1E" w:rsidP="005D6D1E">
            <w:pPr>
              <w:jc w:val="center"/>
            </w:pPr>
          </w:p>
        </w:tc>
      </w:tr>
      <w:tr w:rsidR="005D6D1E" w14:paraId="731593B6" w14:textId="77777777" w:rsidTr="002D600B">
        <w:trPr>
          <w:trHeight w:val="576"/>
        </w:trPr>
        <w:tc>
          <w:tcPr>
            <w:tcW w:w="535" w:type="dxa"/>
            <w:vMerge/>
            <w:vAlign w:val="center"/>
          </w:tcPr>
          <w:p w14:paraId="6D973E8D" w14:textId="77777777" w:rsidR="005D6D1E" w:rsidRDefault="005D6D1E" w:rsidP="005D6D1E">
            <w:pPr>
              <w:jc w:val="center"/>
            </w:pPr>
          </w:p>
        </w:tc>
        <w:tc>
          <w:tcPr>
            <w:tcW w:w="747" w:type="dxa"/>
            <w:vAlign w:val="center"/>
          </w:tcPr>
          <w:p w14:paraId="5E479AD6" w14:textId="77777777" w:rsidR="005D6D1E" w:rsidRDefault="005D6D1E" w:rsidP="005D6D1E">
            <w:pPr>
              <w:jc w:val="center"/>
            </w:pPr>
            <w:r>
              <w:t>10/11</w:t>
            </w:r>
          </w:p>
        </w:tc>
        <w:tc>
          <w:tcPr>
            <w:tcW w:w="2689" w:type="dxa"/>
            <w:vAlign w:val="center"/>
          </w:tcPr>
          <w:p w14:paraId="7C0BE811" w14:textId="731BD48E" w:rsidR="005D6D1E" w:rsidRDefault="005D6D1E" w:rsidP="005D6D1E">
            <w:pPr>
              <w:jc w:val="center"/>
            </w:pPr>
            <w:r>
              <w:t>Imperative and Passive</w:t>
            </w:r>
          </w:p>
        </w:tc>
        <w:tc>
          <w:tcPr>
            <w:tcW w:w="2689" w:type="dxa"/>
            <w:vAlign w:val="center"/>
          </w:tcPr>
          <w:p w14:paraId="6FD2DCB1" w14:textId="0DB63636" w:rsidR="005D6D1E" w:rsidRPr="00D17818" w:rsidRDefault="005D6D1E" w:rsidP="005D6D1E">
            <w:pPr>
              <w:jc w:val="center"/>
            </w:pPr>
            <w:r>
              <w:t>TBD</w:t>
            </w:r>
          </w:p>
        </w:tc>
        <w:tc>
          <w:tcPr>
            <w:tcW w:w="2690" w:type="dxa"/>
            <w:vAlign w:val="center"/>
          </w:tcPr>
          <w:p w14:paraId="076970B5" w14:textId="2D57051D" w:rsidR="005D6D1E" w:rsidRDefault="00C95330" w:rsidP="005D6D1E">
            <w:pPr>
              <w:jc w:val="center"/>
            </w:pPr>
            <w:r w:rsidRPr="00C95330">
              <w:rPr>
                <w:highlight w:val="cyan"/>
              </w:rPr>
              <w:t>LRP B: Meaning</w:t>
            </w:r>
          </w:p>
        </w:tc>
      </w:tr>
      <w:tr w:rsidR="005D6D1E" w14:paraId="684A99B9" w14:textId="77777777" w:rsidTr="002D600B">
        <w:trPr>
          <w:trHeight w:val="576"/>
        </w:trPr>
        <w:tc>
          <w:tcPr>
            <w:tcW w:w="535" w:type="dxa"/>
            <w:vMerge w:val="restart"/>
            <w:vAlign w:val="center"/>
          </w:tcPr>
          <w:p w14:paraId="1DD0A3A8" w14:textId="77777777" w:rsidR="005D6D1E" w:rsidRDefault="005D6D1E" w:rsidP="005D6D1E">
            <w:pPr>
              <w:jc w:val="center"/>
            </w:pPr>
            <w:r>
              <w:t>9</w:t>
            </w:r>
          </w:p>
        </w:tc>
        <w:tc>
          <w:tcPr>
            <w:tcW w:w="747" w:type="dxa"/>
            <w:vAlign w:val="center"/>
          </w:tcPr>
          <w:p w14:paraId="6823254B" w14:textId="77777777" w:rsidR="005D6D1E" w:rsidRDefault="005D6D1E" w:rsidP="005D6D1E">
            <w:pPr>
              <w:jc w:val="center"/>
            </w:pPr>
            <w:r>
              <w:t>10/16</w:t>
            </w:r>
          </w:p>
        </w:tc>
        <w:tc>
          <w:tcPr>
            <w:tcW w:w="2689" w:type="dxa"/>
            <w:vAlign w:val="center"/>
          </w:tcPr>
          <w:p w14:paraId="275A901B" w14:textId="15B46039" w:rsidR="005D6D1E" w:rsidRDefault="005D6D1E" w:rsidP="005D6D1E">
            <w:pPr>
              <w:jc w:val="center"/>
            </w:pPr>
            <w:r>
              <w:t>Review and Practice</w:t>
            </w:r>
          </w:p>
        </w:tc>
        <w:tc>
          <w:tcPr>
            <w:tcW w:w="2689" w:type="dxa"/>
            <w:vAlign w:val="center"/>
          </w:tcPr>
          <w:p w14:paraId="585717D3" w14:textId="05765B69" w:rsidR="005D6D1E" w:rsidRDefault="005D6D1E" w:rsidP="005D6D1E">
            <w:pPr>
              <w:jc w:val="center"/>
            </w:pPr>
          </w:p>
        </w:tc>
        <w:tc>
          <w:tcPr>
            <w:tcW w:w="2690" w:type="dxa"/>
            <w:vAlign w:val="center"/>
          </w:tcPr>
          <w:p w14:paraId="2039E673" w14:textId="11E35800" w:rsidR="00C95330" w:rsidRDefault="005D6D1E" w:rsidP="00C95330">
            <w:pPr>
              <w:jc w:val="center"/>
            </w:pPr>
            <w:r>
              <w:t>Problem Set 2</w:t>
            </w:r>
          </w:p>
        </w:tc>
      </w:tr>
      <w:tr w:rsidR="005D6D1E" w14:paraId="72704E6F" w14:textId="77777777" w:rsidTr="002D600B">
        <w:trPr>
          <w:trHeight w:val="576"/>
        </w:trPr>
        <w:tc>
          <w:tcPr>
            <w:tcW w:w="535" w:type="dxa"/>
            <w:vMerge/>
            <w:vAlign w:val="center"/>
          </w:tcPr>
          <w:p w14:paraId="10F84725" w14:textId="77777777" w:rsidR="005D6D1E" w:rsidRDefault="005D6D1E" w:rsidP="005D6D1E">
            <w:pPr>
              <w:jc w:val="center"/>
            </w:pPr>
          </w:p>
        </w:tc>
        <w:tc>
          <w:tcPr>
            <w:tcW w:w="747" w:type="dxa"/>
            <w:vAlign w:val="center"/>
          </w:tcPr>
          <w:p w14:paraId="1FCE105D" w14:textId="77777777" w:rsidR="005D6D1E" w:rsidRDefault="005D6D1E" w:rsidP="005D6D1E">
            <w:pPr>
              <w:jc w:val="center"/>
            </w:pPr>
            <w:r>
              <w:t>10/18</w:t>
            </w:r>
          </w:p>
        </w:tc>
        <w:tc>
          <w:tcPr>
            <w:tcW w:w="2689" w:type="dxa"/>
            <w:vAlign w:val="center"/>
          </w:tcPr>
          <w:p w14:paraId="3F5682EC" w14:textId="43DC2081" w:rsidR="005D6D1E" w:rsidRDefault="005D6D1E" w:rsidP="005D6D1E">
            <w:pPr>
              <w:jc w:val="center"/>
            </w:pPr>
            <w:r w:rsidRPr="00335543">
              <w:rPr>
                <w:highlight w:val="yellow"/>
              </w:rPr>
              <w:t>Quiz 2</w:t>
            </w:r>
          </w:p>
        </w:tc>
        <w:tc>
          <w:tcPr>
            <w:tcW w:w="2689" w:type="dxa"/>
            <w:vAlign w:val="center"/>
          </w:tcPr>
          <w:p w14:paraId="74E967FB" w14:textId="77777777" w:rsidR="005D6D1E" w:rsidRPr="00D17818" w:rsidRDefault="005D6D1E" w:rsidP="005D6D1E">
            <w:pPr>
              <w:jc w:val="center"/>
            </w:pPr>
          </w:p>
        </w:tc>
        <w:tc>
          <w:tcPr>
            <w:tcW w:w="2690" w:type="dxa"/>
            <w:vAlign w:val="center"/>
          </w:tcPr>
          <w:p w14:paraId="3946F6A1" w14:textId="48201FFA" w:rsidR="005D6D1E" w:rsidRDefault="005D6D1E" w:rsidP="005D6D1E">
            <w:pPr>
              <w:jc w:val="center"/>
            </w:pPr>
          </w:p>
        </w:tc>
      </w:tr>
      <w:tr w:rsidR="005D6D1E" w14:paraId="0AC282CD" w14:textId="77777777" w:rsidTr="002D600B">
        <w:trPr>
          <w:trHeight w:val="576"/>
        </w:trPr>
        <w:tc>
          <w:tcPr>
            <w:tcW w:w="535" w:type="dxa"/>
            <w:vMerge w:val="restart"/>
            <w:vAlign w:val="center"/>
          </w:tcPr>
          <w:p w14:paraId="597DF142" w14:textId="77777777" w:rsidR="005D6D1E" w:rsidRDefault="005D6D1E" w:rsidP="005D6D1E">
            <w:pPr>
              <w:jc w:val="center"/>
            </w:pPr>
            <w:r>
              <w:t>10</w:t>
            </w:r>
          </w:p>
        </w:tc>
        <w:tc>
          <w:tcPr>
            <w:tcW w:w="747" w:type="dxa"/>
            <w:vAlign w:val="center"/>
          </w:tcPr>
          <w:p w14:paraId="4F9D5169" w14:textId="77777777" w:rsidR="005D6D1E" w:rsidRDefault="005D6D1E" w:rsidP="005D6D1E">
            <w:pPr>
              <w:jc w:val="center"/>
            </w:pPr>
            <w:r>
              <w:t>10/23</w:t>
            </w:r>
          </w:p>
        </w:tc>
        <w:tc>
          <w:tcPr>
            <w:tcW w:w="2689" w:type="dxa"/>
            <w:vAlign w:val="center"/>
          </w:tcPr>
          <w:p w14:paraId="6148FA37" w14:textId="462F2746" w:rsidR="005D6D1E" w:rsidRDefault="005D6D1E" w:rsidP="005D6D1E">
            <w:pPr>
              <w:jc w:val="center"/>
            </w:pPr>
            <w:r>
              <w:t>Coordinating Conjunctions</w:t>
            </w:r>
          </w:p>
        </w:tc>
        <w:tc>
          <w:tcPr>
            <w:tcW w:w="2689" w:type="dxa"/>
            <w:vAlign w:val="center"/>
          </w:tcPr>
          <w:p w14:paraId="47B3FE5A" w14:textId="1A02874B" w:rsidR="005D6D1E" w:rsidRDefault="005D6D1E" w:rsidP="005D6D1E">
            <w:pPr>
              <w:jc w:val="center"/>
            </w:pPr>
            <w:r>
              <w:rPr>
                <w:i/>
              </w:rPr>
              <w:t>TGB</w:t>
            </w:r>
            <w:r>
              <w:t xml:space="preserve"> pp. 481-485</w:t>
            </w:r>
          </w:p>
        </w:tc>
        <w:tc>
          <w:tcPr>
            <w:tcW w:w="2690" w:type="dxa"/>
            <w:vAlign w:val="center"/>
          </w:tcPr>
          <w:p w14:paraId="5F318B86" w14:textId="1882087F" w:rsidR="005D6D1E" w:rsidRDefault="00C95330" w:rsidP="00C95330">
            <w:pPr>
              <w:jc w:val="center"/>
            </w:pPr>
            <w:r w:rsidRPr="00C95330">
              <w:rPr>
                <w:highlight w:val="cyan"/>
              </w:rPr>
              <w:t>LRP C: Use</w:t>
            </w:r>
            <w:r>
              <w:t xml:space="preserve"> </w:t>
            </w:r>
          </w:p>
        </w:tc>
      </w:tr>
      <w:tr w:rsidR="005D6D1E" w14:paraId="1EE9F61A" w14:textId="77777777" w:rsidTr="002D600B">
        <w:trPr>
          <w:trHeight w:val="576"/>
        </w:trPr>
        <w:tc>
          <w:tcPr>
            <w:tcW w:w="535" w:type="dxa"/>
            <w:vMerge/>
            <w:vAlign w:val="center"/>
          </w:tcPr>
          <w:p w14:paraId="6320B442" w14:textId="77777777" w:rsidR="005D6D1E" w:rsidRDefault="005D6D1E" w:rsidP="005D6D1E">
            <w:pPr>
              <w:jc w:val="center"/>
            </w:pPr>
          </w:p>
        </w:tc>
        <w:tc>
          <w:tcPr>
            <w:tcW w:w="747" w:type="dxa"/>
            <w:vAlign w:val="center"/>
          </w:tcPr>
          <w:p w14:paraId="78B0343F" w14:textId="77777777" w:rsidR="005D6D1E" w:rsidRDefault="005D6D1E" w:rsidP="005D6D1E">
            <w:pPr>
              <w:jc w:val="center"/>
            </w:pPr>
            <w:r>
              <w:t>10/25</w:t>
            </w:r>
          </w:p>
        </w:tc>
        <w:tc>
          <w:tcPr>
            <w:tcW w:w="2689" w:type="dxa"/>
            <w:vAlign w:val="center"/>
          </w:tcPr>
          <w:p w14:paraId="1AD140C9" w14:textId="6E0CFA12" w:rsidR="005D6D1E" w:rsidRDefault="005D6D1E" w:rsidP="005D6D1E">
            <w:pPr>
              <w:jc w:val="center"/>
            </w:pPr>
            <w:r>
              <w:t>Subordinating Conjunctions</w:t>
            </w:r>
          </w:p>
        </w:tc>
        <w:tc>
          <w:tcPr>
            <w:tcW w:w="2689" w:type="dxa"/>
            <w:vAlign w:val="center"/>
          </w:tcPr>
          <w:p w14:paraId="68AF2813" w14:textId="02E27CBA" w:rsidR="005D6D1E" w:rsidRDefault="005D6D1E" w:rsidP="005D6D1E">
            <w:pPr>
              <w:jc w:val="center"/>
            </w:pPr>
            <w:r>
              <w:t>TBD</w:t>
            </w:r>
          </w:p>
        </w:tc>
        <w:tc>
          <w:tcPr>
            <w:tcW w:w="2690" w:type="dxa"/>
            <w:vAlign w:val="center"/>
          </w:tcPr>
          <w:p w14:paraId="22A13E91" w14:textId="77777777" w:rsidR="005D6D1E" w:rsidRDefault="005D6D1E" w:rsidP="005D6D1E">
            <w:pPr>
              <w:jc w:val="center"/>
            </w:pPr>
          </w:p>
        </w:tc>
      </w:tr>
      <w:tr w:rsidR="005D6D1E" w14:paraId="0FF6E801" w14:textId="77777777" w:rsidTr="002D600B">
        <w:trPr>
          <w:trHeight w:val="576"/>
        </w:trPr>
        <w:tc>
          <w:tcPr>
            <w:tcW w:w="535" w:type="dxa"/>
            <w:vMerge w:val="restart"/>
            <w:vAlign w:val="center"/>
          </w:tcPr>
          <w:p w14:paraId="10930A7B" w14:textId="77777777" w:rsidR="005D6D1E" w:rsidRDefault="005D6D1E" w:rsidP="005D6D1E">
            <w:pPr>
              <w:jc w:val="center"/>
            </w:pPr>
            <w:r>
              <w:t>11</w:t>
            </w:r>
          </w:p>
        </w:tc>
        <w:tc>
          <w:tcPr>
            <w:tcW w:w="747" w:type="dxa"/>
            <w:vAlign w:val="center"/>
          </w:tcPr>
          <w:p w14:paraId="7405CBA6" w14:textId="77777777" w:rsidR="005D6D1E" w:rsidRDefault="005D6D1E" w:rsidP="005D6D1E">
            <w:pPr>
              <w:jc w:val="center"/>
            </w:pPr>
            <w:r>
              <w:t>10/30</w:t>
            </w:r>
          </w:p>
        </w:tc>
        <w:tc>
          <w:tcPr>
            <w:tcW w:w="2689" w:type="dxa"/>
            <w:vAlign w:val="center"/>
          </w:tcPr>
          <w:p w14:paraId="1D629DA3" w14:textId="1C0940CE" w:rsidR="005D6D1E" w:rsidRDefault="005D6D1E" w:rsidP="005D6D1E">
            <w:pPr>
              <w:jc w:val="center"/>
            </w:pPr>
            <w:r>
              <w:t>Review and Practice</w:t>
            </w:r>
          </w:p>
        </w:tc>
        <w:tc>
          <w:tcPr>
            <w:tcW w:w="2689" w:type="dxa"/>
            <w:vAlign w:val="center"/>
          </w:tcPr>
          <w:p w14:paraId="6B463347" w14:textId="7CAAE5E5" w:rsidR="005D6D1E" w:rsidRDefault="005D6D1E" w:rsidP="005D6D1E">
            <w:pPr>
              <w:jc w:val="center"/>
            </w:pPr>
          </w:p>
        </w:tc>
        <w:tc>
          <w:tcPr>
            <w:tcW w:w="2690" w:type="dxa"/>
            <w:vAlign w:val="center"/>
          </w:tcPr>
          <w:p w14:paraId="7F2A2C6A" w14:textId="68AC69C2" w:rsidR="005D6D1E" w:rsidRDefault="005D6D1E" w:rsidP="005D6D1E">
            <w:pPr>
              <w:jc w:val="center"/>
            </w:pPr>
            <w:r>
              <w:t>Problem Set 3</w:t>
            </w:r>
          </w:p>
        </w:tc>
      </w:tr>
      <w:tr w:rsidR="005D6D1E" w14:paraId="72E3FE26" w14:textId="77777777" w:rsidTr="002D600B">
        <w:trPr>
          <w:trHeight w:val="576"/>
        </w:trPr>
        <w:tc>
          <w:tcPr>
            <w:tcW w:w="535" w:type="dxa"/>
            <w:vMerge/>
            <w:vAlign w:val="center"/>
          </w:tcPr>
          <w:p w14:paraId="0E2F2DD5" w14:textId="77777777" w:rsidR="005D6D1E" w:rsidRDefault="005D6D1E" w:rsidP="005D6D1E">
            <w:pPr>
              <w:jc w:val="center"/>
            </w:pPr>
          </w:p>
        </w:tc>
        <w:tc>
          <w:tcPr>
            <w:tcW w:w="747" w:type="dxa"/>
            <w:vAlign w:val="center"/>
          </w:tcPr>
          <w:p w14:paraId="42FDF216" w14:textId="77777777" w:rsidR="005D6D1E" w:rsidRDefault="005D6D1E" w:rsidP="005D6D1E">
            <w:pPr>
              <w:jc w:val="center"/>
            </w:pPr>
            <w:r>
              <w:t>11/1</w:t>
            </w:r>
          </w:p>
        </w:tc>
        <w:tc>
          <w:tcPr>
            <w:tcW w:w="2689" w:type="dxa"/>
            <w:vAlign w:val="center"/>
          </w:tcPr>
          <w:p w14:paraId="233D0831" w14:textId="2A07F082" w:rsidR="005D6D1E" w:rsidRDefault="005D6D1E" w:rsidP="005D6D1E">
            <w:pPr>
              <w:jc w:val="center"/>
            </w:pPr>
            <w:r w:rsidRPr="00335543">
              <w:rPr>
                <w:highlight w:val="yellow"/>
              </w:rPr>
              <w:t>Quiz 3</w:t>
            </w:r>
          </w:p>
        </w:tc>
        <w:tc>
          <w:tcPr>
            <w:tcW w:w="2689" w:type="dxa"/>
            <w:vAlign w:val="center"/>
          </w:tcPr>
          <w:p w14:paraId="776FFD3D" w14:textId="77777777" w:rsidR="005D6D1E" w:rsidRDefault="005D6D1E" w:rsidP="005D6D1E">
            <w:pPr>
              <w:jc w:val="center"/>
            </w:pPr>
          </w:p>
        </w:tc>
        <w:tc>
          <w:tcPr>
            <w:tcW w:w="2690" w:type="dxa"/>
            <w:vAlign w:val="center"/>
          </w:tcPr>
          <w:p w14:paraId="1E530B44" w14:textId="4F8C9E38" w:rsidR="005D6D1E" w:rsidRDefault="00C95330" w:rsidP="005D6D1E">
            <w:pPr>
              <w:jc w:val="center"/>
            </w:pPr>
            <w:r w:rsidRPr="00C95330">
              <w:rPr>
                <w:highlight w:val="cyan"/>
              </w:rPr>
              <w:t>LRP D: Pedagogy and Composition</w:t>
            </w:r>
          </w:p>
        </w:tc>
      </w:tr>
      <w:tr w:rsidR="005D6D1E" w14:paraId="5DFF7E14" w14:textId="77777777" w:rsidTr="002D600B">
        <w:trPr>
          <w:trHeight w:val="576"/>
        </w:trPr>
        <w:tc>
          <w:tcPr>
            <w:tcW w:w="535" w:type="dxa"/>
            <w:vMerge w:val="restart"/>
            <w:vAlign w:val="center"/>
          </w:tcPr>
          <w:p w14:paraId="2F99FED4" w14:textId="77777777" w:rsidR="005D6D1E" w:rsidRDefault="005D6D1E" w:rsidP="005D6D1E">
            <w:pPr>
              <w:jc w:val="center"/>
            </w:pPr>
            <w:r>
              <w:t>12</w:t>
            </w:r>
          </w:p>
        </w:tc>
        <w:tc>
          <w:tcPr>
            <w:tcW w:w="747" w:type="dxa"/>
            <w:vAlign w:val="center"/>
          </w:tcPr>
          <w:p w14:paraId="41D1CAC8" w14:textId="77777777" w:rsidR="005D6D1E" w:rsidRDefault="005D6D1E" w:rsidP="005D6D1E">
            <w:pPr>
              <w:jc w:val="center"/>
            </w:pPr>
            <w:r>
              <w:t>11/6</w:t>
            </w:r>
          </w:p>
        </w:tc>
        <w:tc>
          <w:tcPr>
            <w:tcW w:w="2689" w:type="dxa"/>
            <w:vAlign w:val="center"/>
          </w:tcPr>
          <w:p w14:paraId="285D243D" w14:textId="713C43F6" w:rsidR="005D6D1E" w:rsidRDefault="005D6D1E" w:rsidP="005D6D1E">
            <w:pPr>
              <w:jc w:val="center"/>
            </w:pPr>
            <w:r>
              <w:t>Relative Clauses</w:t>
            </w:r>
          </w:p>
        </w:tc>
        <w:tc>
          <w:tcPr>
            <w:tcW w:w="2689" w:type="dxa"/>
            <w:vAlign w:val="center"/>
          </w:tcPr>
          <w:p w14:paraId="1843F9E0" w14:textId="30082609" w:rsidR="005D6D1E" w:rsidRDefault="005D6D1E" w:rsidP="005D6D1E">
            <w:pPr>
              <w:jc w:val="center"/>
            </w:pPr>
            <w:r>
              <w:rPr>
                <w:i/>
              </w:rPr>
              <w:t>Teacher’s Grammar of English</w:t>
            </w:r>
            <w:r>
              <w:t>, pp. 420-439</w:t>
            </w:r>
          </w:p>
        </w:tc>
        <w:tc>
          <w:tcPr>
            <w:tcW w:w="2690" w:type="dxa"/>
            <w:vAlign w:val="center"/>
          </w:tcPr>
          <w:p w14:paraId="02D5C552" w14:textId="77777777" w:rsidR="005D6D1E" w:rsidRDefault="005D6D1E" w:rsidP="005D6D1E">
            <w:pPr>
              <w:jc w:val="center"/>
            </w:pPr>
          </w:p>
        </w:tc>
      </w:tr>
      <w:tr w:rsidR="005D6D1E" w14:paraId="30135D4F" w14:textId="77777777" w:rsidTr="002D600B">
        <w:trPr>
          <w:trHeight w:val="576"/>
        </w:trPr>
        <w:tc>
          <w:tcPr>
            <w:tcW w:w="535" w:type="dxa"/>
            <w:vMerge/>
            <w:vAlign w:val="center"/>
          </w:tcPr>
          <w:p w14:paraId="2D94B450" w14:textId="77777777" w:rsidR="005D6D1E" w:rsidRDefault="005D6D1E" w:rsidP="005D6D1E">
            <w:pPr>
              <w:jc w:val="center"/>
            </w:pPr>
          </w:p>
        </w:tc>
        <w:tc>
          <w:tcPr>
            <w:tcW w:w="747" w:type="dxa"/>
            <w:vAlign w:val="center"/>
          </w:tcPr>
          <w:p w14:paraId="3CD632E2" w14:textId="77777777" w:rsidR="005D6D1E" w:rsidRDefault="005D6D1E" w:rsidP="005D6D1E">
            <w:pPr>
              <w:jc w:val="center"/>
            </w:pPr>
            <w:r>
              <w:t>11/8</w:t>
            </w:r>
          </w:p>
        </w:tc>
        <w:tc>
          <w:tcPr>
            <w:tcW w:w="2689" w:type="dxa"/>
            <w:vAlign w:val="center"/>
          </w:tcPr>
          <w:p w14:paraId="006AEF6F" w14:textId="43A7EFE0" w:rsidR="005D6D1E" w:rsidRDefault="005D6D1E" w:rsidP="005D6D1E">
            <w:pPr>
              <w:jc w:val="center"/>
            </w:pPr>
            <w:r>
              <w:t>That-complements</w:t>
            </w:r>
          </w:p>
        </w:tc>
        <w:tc>
          <w:tcPr>
            <w:tcW w:w="2689" w:type="dxa"/>
            <w:vAlign w:val="center"/>
          </w:tcPr>
          <w:p w14:paraId="217014F2" w14:textId="1CAA3E97" w:rsidR="005D6D1E" w:rsidRPr="00D17818" w:rsidRDefault="005D6D1E" w:rsidP="005D6D1E">
            <w:pPr>
              <w:jc w:val="center"/>
            </w:pPr>
            <w:r>
              <w:rPr>
                <w:i/>
              </w:rPr>
              <w:t xml:space="preserve">TGB </w:t>
            </w:r>
            <w:r>
              <w:t>pp. 681-684</w:t>
            </w:r>
          </w:p>
        </w:tc>
        <w:tc>
          <w:tcPr>
            <w:tcW w:w="2690" w:type="dxa"/>
            <w:vAlign w:val="center"/>
          </w:tcPr>
          <w:p w14:paraId="63E0546A" w14:textId="77777777" w:rsidR="005D6D1E" w:rsidRDefault="005D6D1E" w:rsidP="005D6D1E">
            <w:pPr>
              <w:jc w:val="center"/>
            </w:pPr>
          </w:p>
        </w:tc>
      </w:tr>
      <w:tr w:rsidR="005D6D1E" w14:paraId="0E26EB76" w14:textId="77777777" w:rsidTr="002D600B">
        <w:trPr>
          <w:trHeight w:val="576"/>
        </w:trPr>
        <w:tc>
          <w:tcPr>
            <w:tcW w:w="535" w:type="dxa"/>
            <w:vMerge w:val="restart"/>
            <w:vAlign w:val="center"/>
          </w:tcPr>
          <w:p w14:paraId="71EF65FB" w14:textId="77777777" w:rsidR="005D6D1E" w:rsidRDefault="005D6D1E" w:rsidP="005D6D1E">
            <w:pPr>
              <w:jc w:val="center"/>
            </w:pPr>
            <w:r>
              <w:t>13</w:t>
            </w:r>
          </w:p>
        </w:tc>
        <w:tc>
          <w:tcPr>
            <w:tcW w:w="747" w:type="dxa"/>
            <w:vAlign w:val="center"/>
          </w:tcPr>
          <w:p w14:paraId="08283690" w14:textId="77777777" w:rsidR="005D6D1E" w:rsidRDefault="005D6D1E" w:rsidP="005D6D1E">
            <w:pPr>
              <w:jc w:val="center"/>
            </w:pPr>
            <w:r>
              <w:t>11/13</w:t>
            </w:r>
          </w:p>
        </w:tc>
        <w:tc>
          <w:tcPr>
            <w:tcW w:w="2689" w:type="dxa"/>
            <w:vAlign w:val="center"/>
          </w:tcPr>
          <w:p w14:paraId="09C1E6D7" w14:textId="4A2FF501" w:rsidR="005D6D1E" w:rsidRDefault="005D6D1E" w:rsidP="005D6D1E">
            <w:pPr>
              <w:jc w:val="center"/>
            </w:pPr>
            <w:r>
              <w:t>Infinitives and Gerunds</w:t>
            </w:r>
          </w:p>
        </w:tc>
        <w:tc>
          <w:tcPr>
            <w:tcW w:w="2689" w:type="dxa"/>
            <w:vAlign w:val="center"/>
          </w:tcPr>
          <w:p w14:paraId="6EC1863E" w14:textId="2CD71283" w:rsidR="005D6D1E" w:rsidRPr="00D17818" w:rsidRDefault="005D6D1E" w:rsidP="005D6D1E">
            <w:pPr>
              <w:jc w:val="center"/>
            </w:pPr>
            <w:r>
              <w:rPr>
                <w:i/>
              </w:rPr>
              <w:t xml:space="preserve">TGB </w:t>
            </w:r>
            <w:r>
              <w:t>pp. 684-690</w:t>
            </w:r>
          </w:p>
        </w:tc>
        <w:tc>
          <w:tcPr>
            <w:tcW w:w="2690" w:type="dxa"/>
            <w:vAlign w:val="center"/>
          </w:tcPr>
          <w:p w14:paraId="1147E4F3" w14:textId="5C115052" w:rsidR="005D6D1E" w:rsidRDefault="00C95330" w:rsidP="005D6D1E">
            <w:pPr>
              <w:jc w:val="center"/>
            </w:pPr>
            <w:r>
              <w:t>LRP First Full Draft</w:t>
            </w:r>
          </w:p>
        </w:tc>
      </w:tr>
      <w:tr w:rsidR="005D6D1E" w14:paraId="3483671F" w14:textId="77777777" w:rsidTr="002D600B">
        <w:trPr>
          <w:trHeight w:val="576"/>
        </w:trPr>
        <w:tc>
          <w:tcPr>
            <w:tcW w:w="535" w:type="dxa"/>
            <w:vMerge/>
            <w:vAlign w:val="center"/>
          </w:tcPr>
          <w:p w14:paraId="0623D5A7" w14:textId="77777777" w:rsidR="005D6D1E" w:rsidRDefault="005D6D1E" w:rsidP="005D6D1E">
            <w:pPr>
              <w:jc w:val="center"/>
            </w:pPr>
          </w:p>
        </w:tc>
        <w:tc>
          <w:tcPr>
            <w:tcW w:w="747" w:type="dxa"/>
            <w:vAlign w:val="center"/>
          </w:tcPr>
          <w:p w14:paraId="27C81B98" w14:textId="77777777" w:rsidR="005D6D1E" w:rsidRDefault="005D6D1E" w:rsidP="005D6D1E">
            <w:pPr>
              <w:jc w:val="center"/>
            </w:pPr>
            <w:r>
              <w:t>11/15</w:t>
            </w:r>
          </w:p>
        </w:tc>
        <w:tc>
          <w:tcPr>
            <w:tcW w:w="2689" w:type="dxa"/>
            <w:vAlign w:val="center"/>
          </w:tcPr>
          <w:p w14:paraId="42D76B56" w14:textId="0182885B" w:rsidR="005D6D1E" w:rsidRDefault="005D6D1E" w:rsidP="005D6D1E">
            <w:pPr>
              <w:jc w:val="center"/>
            </w:pPr>
            <w:r>
              <w:t>Review and Practice</w:t>
            </w:r>
          </w:p>
        </w:tc>
        <w:tc>
          <w:tcPr>
            <w:tcW w:w="2689" w:type="dxa"/>
            <w:vAlign w:val="center"/>
          </w:tcPr>
          <w:p w14:paraId="5D3DA944" w14:textId="69C7F376" w:rsidR="005D6D1E" w:rsidRPr="00D17818" w:rsidRDefault="005D6D1E" w:rsidP="005D6D1E">
            <w:pPr>
              <w:jc w:val="center"/>
            </w:pPr>
          </w:p>
        </w:tc>
        <w:tc>
          <w:tcPr>
            <w:tcW w:w="2690" w:type="dxa"/>
            <w:vAlign w:val="center"/>
          </w:tcPr>
          <w:p w14:paraId="21938C8B" w14:textId="072469B7" w:rsidR="005D6D1E" w:rsidRDefault="005D6D1E" w:rsidP="005D6D1E">
            <w:pPr>
              <w:jc w:val="center"/>
            </w:pPr>
            <w:r>
              <w:t>Problem Set 4</w:t>
            </w:r>
          </w:p>
        </w:tc>
      </w:tr>
      <w:tr w:rsidR="005D6D1E" w14:paraId="1BA6A20D" w14:textId="77777777" w:rsidTr="002D600B">
        <w:trPr>
          <w:trHeight w:val="576"/>
        </w:trPr>
        <w:tc>
          <w:tcPr>
            <w:tcW w:w="535" w:type="dxa"/>
            <w:vMerge w:val="restart"/>
            <w:vAlign w:val="center"/>
          </w:tcPr>
          <w:p w14:paraId="3017D3B3" w14:textId="77777777" w:rsidR="005D6D1E" w:rsidRDefault="005D6D1E" w:rsidP="005D6D1E">
            <w:pPr>
              <w:jc w:val="center"/>
            </w:pPr>
            <w:r>
              <w:t>14</w:t>
            </w:r>
          </w:p>
        </w:tc>
        <w:tc>
          <w:tcPr>
            <w:tcW w:w="747" w:type="dxa"/>
            <w:vAlign w:val="center"/>
          </w:tcPr>
          <w:p w14:paraId="1D213FCA" w14:textId="77777777" w:rsidR="005D6D1E" w:rsidRDefault="005D6D1E" w:rsidP="005D6D1E">
            <w:pPr>
              <w:jc w:val="center"/>
            </w:pPr>
            <w:r>
              <w:t>11/20</w:t>
            </w:r>
          </w:p>
        </w:tc>
        <w:tc>
          <w:tcPr>
            <w:tcW w:w="2689" w:type="dxa"/>
            <w:vAlign w:val="center"/>
          </w:tcPr>
          <w:p w14:paraId="1F98DFFB" w14:textId="24EF0AEA" w:rsidR="005D6D1E" w:rsidRDefault="005D6D1E" w:rsidP="005D6D1E">
            <w:pPr>
              <w:jc w:val="center"/>
            </w:pPr>
            <w:r w:rsidRPr="00335543">
              <w:rPr>
                <w:highlight w:val="yellow"/>
              </w:rPr>
              <w:t>Quiz 4</w:t>
            </w:r>
          </w:p>
        </w:tc>
        <w:tc>
          <w:tcPr>
            <w:tcW w:w="2689" w:type="dxa"/>
            <w:vAlign w:val="center"/>
          </w:tcPr>
          <w:p w14:paraId="46D5717B" w14:textId="77777777" w:rsidR="005D6D1E" w:rsidRDefault="005D6D1E" w:rsidP="005D6D1E">
            <w:pPr>
              <w:jc w:val="center"/>
            </w:pPr>
          </w:p>
        </w:tc>
        <w:tc>
          <w:tcPr>
            <w:tcW w:w="2690" w:type="dxa"/>
            <w:vAlign w:val="center"/>
          </w:tcPr>
          <w:p w14:paraId="056F5899" w14:textId="3BC6BDE2" w:rsidR="005D6D1E" w:rsidRDefault="005D6D1E" w:rsidP="005D6D1E">
            <w:pPr>
              <w:jc w:val="center"/>
            </w:pPr>
          </w:p>
        </w:tc>
      </w:tr>
      <w:tr w:rsidR="005D6D1E" w14:paraId="67B14139" w14:textId="77777777" w:rsidTr="002D600B">
        <w:trPr>
          <w:trHeight w:val="576"/>
        </w:trPr>
        <w:tc>
          <w:tcPr>
            <w:tcW w:w="535" w:type="dxa"/>
            <w:vMerge/>
            <w:vAlign w:val="center"/>
          </w:tcPr>
          <w:p w14:paraId="62A3969A" w14:textId="77777777" w:rsidR="005D6D1E" w:rsidRDefault="005D6D1E" w:rsidP="005D6D1E">
            <w:pPr>
              <w:jc w:val="center"/>
            </w:pPr>
          </w:p>
        </w:tc>
        <w:tc>
          <w:tcPr>
            <w:tcW w:w="747" w:type="dxa"/>
            <w:vAlign w:val="center"/>
          </w:tcPr>
          <w:p w14:paraId="38D56F88" w14:textId="77777777" w:rsidR="005D6D1E" w:rsidRDefault="005D6D1E" w:rsidP="005D6D1E">
            <w:pPr>
              <w:jc w:val="center"/>
            </w:pPr>
            <w:r>
              <w:t>11/22</w:t>
            </w:r>
          </w:p>
        </w:tc>
        <w:tc>
          <w:tcPr>
            <w:tcW w:w="8068" w:type="dxa"/>
            <w:gridSpan w:val="3"/>
            <w:vAlign w:val="center"/>
          </w:tcPr>
          <w:p w14:paraId="6F248939" w14:textId="77777777" w:rsidR="005D6D1E" w:rsidRDefault="005D6D1E" w:rsidP="005D6D1E">
            <w:pPr>
              <w:jc w:val="center"/>
            </w:pPr>
            <w:r>
              <w:t>THANKSGIVING BREAK</w:t>
            </w:r>
          </w:p>
        </w:tc>
      </w:tr>
      <w:tr w:rsidR="005D6D1E" w14:paraId="19A14AA3" w14:textId="77777777" w:rsidTr="002D600B">
        <w:trPr>
          <w:trHeight w:val="576"/>
        </w:trPr>
        <w:tc>
          <w:tcPr>
            <w:tcW w:w="535" w:type="dxa"/>
            <w:vMerge w:val="restart"/>
            <w:vAlign w:val="center"/>
          </w:tcPr>
          <w:p w14:paraId="162008BE" w14:textId="77777777" w:rsidR="005D6D1E" w:rsidRDefault="005D6D1E" w:rsidP="005D6D1E">
            <w:pPr>
              <w:jc w:val="center"/>
            </w:pPr>
            <w:r>
              <w:t>15</w:t>
            </w:r>
          </w:p>
        </w:tc>
        <w:tc>
          <w:tcPr>
            <w:tcW w:w="747" w:type="dxa"/>
            <w:vAlign w:val="center"/>
          </w:tcPr>
          <w:p w14:paraId="65FC1D1D" w14:textId="77777777" w:rsidR="005D6D1E" w:rsidRDefault="005D6D1E" w:rsidP="005D6D1E">
            <w:pPr>
              <w:jc w:val="center"/>
            </w:pPr>
            <w:r>
              <w:t>11/27</w:t>
            </w:r>
          </w:p>
        </w:tc>
        <w:tc>
          <w:tcPr>
            <w:tcW w:w="2689" w:type="dxa"/>
            <w:vAlign w:val="center"/>
          </w:tcPr>
          <w:p w14:paraId="13F5D54D" w14:textId="20258FFB" w:rsidR="005D6D1E" w:rsidRDefault="00C95330" w:rsidP="005D6D1E">
            <w:pPr>
              <w:jc w:val="center"/>
            </w:pPr>
            <w:r>
              <w:t>Review and Presentation Work</w:t>
            </w:r>
          </w:p>
        </w:tc>
        <w:tc>
          <w:tcPr>
            <w:tcW w:w="2689" w:type="dxa"/>
            <w:vAlign w:val="center"/>
          </w:tcPr>
          <w:p w14:paraId="5904B6CD" w14:textId="77777777" w:rsidR="005D6D1E" w:rsidRDefault="005D6D1E" w:rsidP="005D6D1E">
            <w:pPr>
              <w:jc w:val="center"/>
            </w:pPr>
          </w:p>
        </w:tc>
        <w:tc>
          <w:tcPr>
            <w:tcW w:w="2690" w:type="dxa"/>
            <w:vAlign w:val="center"/>
          </w:tcPr>
          <w:p w14:paraId="24E5A96C" w14:textId="77777777" w:rsidR="005D6D1E" w:rsidRDefault="005D6D1E" w:rsidP="005D6D1E">
            <w:pPr>
              <w:jc w:val="center"/>
            </w:pPr>
          </w:p>
        </w:tc>
      </w:tr>
      <w:tr w:rsidR="005D6D1E" w14:paraId="4093EEC9" w14:textId="77777777" w:rsidTr="002D600B">
        <w:trPr>
          <w:trHeight w:val="576"/>
        </w:trPr>
        <w:tc>
          <w:tcPr>
            <w:tcW w:w="535" w:type="dxa"/>
            <w:vMerge/>
            <w:vAlign w:val="center"/>
          </w:tcPr>
          <w:p w14:paraId="5BB8FDBE" w14:textId="77777777" w:rsidR="005D6D1E" w:rsidRDefault="005D6D1E" w:rsidP="005D6D1E">
            <w:pPr>
              <w:jc w:val="center"/>
            </w:pPr>
          </w:p>
        </w:tc>
        <w:tc>
          <w:tcPr>
            <w:tcW w:w="747" w:type="dxa"/>
            <w:vAlign w:val="center"/>
          </w:tcPr>
          <w:p w14:paraId="62EB5A82" w14:textId="77777777" w:rsidR="005D6D1E" w:rsidRDefault="005D6D1E" w:rsidP="005D6D1E">
            <w:pPr>
              <w:jc w:val="center"/>
            </w:pPr>
            <w:r>
              <w:t>11/29</w:t>
            </w:r>
          </w:p>
        </w:tc>
        <w:tc>
          <w:tcPr>
            <w:tcW w:w="2689" w:type="dxa"/>
            <w:vAlign w:val="center"/>
          </w:tcPr>
          <w:p w14:paraId="79FC0A0F" w14:textId="1E6515CC" w:rsidR="005D6D1E" w:rsidRDefault="005D6D1E" w:rsidP="005D6D1E">
            <w:pPr>
              <w:jc w:val="center"/>
            </w:pPr>
            <w:r>
              <w:t>LRP Presentations</w:t>
            </w:r>
          </w:p>
        </w:tc>
        <w:tc>
          <w:tcPr>
            <w:tcW w:w="2689" w:type="dxa"/>
            <w:vAlign w:val="center"/>
          </w:tcPr>
          <w:p w14:paraId="551AE3AC" w14:textId="77777777" w:rsidR="005D6D1E" w:rsidRDefault="005D6D1E" w:rsidP="005D6D1E">
            <w:pPr>
              <w:jc w:val="center"/>
            </w:pPr>
          </w:p>
        </w:tc>
        <w:tc>
          <w:tcPr>
            <w:tcW w:w="2690" w:type="dxa"/>
            <w:vAlign w:val="center"/>
          </w:tcPr>
          <w:p w14:paraId="039D3200" w14:textId="77777777" w:rsidR="005D6D1E" w:rsidRDefault="005D6D1E" w:rsidP="005D6D1E">
            <w:pPr>
              <w:jc w:val="center"/>
            </w:pPr>
          </w:p>
        </w:tc>
      </w:tr>
      <w:tr w:rsidR="005D6D1E" w14:paraId="76522CD6" w14:textId="77777777" w:rsidTr="002D600B">
        <w:trPr>
          <w:trHeight w:val="576"/>
        </w:trPr>
        <w:tc>
          <w:tcPr>
            <w:tcW w:w="535" w:type="dxa"/>
            <w:vMerge w:val="restart"/>
            <w:vAlign w:val="center"/>
          </w:tcPr>
          <w:p w14:paraId="063C651F" w14:textId="77777777" w:rsidR="005D6D1E" w:rsidRDefault="005D6D1E" w:rsidP="005D6D1E">
            <w:pPr>
              <w:jc w:val="center"/>
            </w:pPr>
            <w:r>
              <w:t>16</w:t>
            </w:r>
          </w:p>
        </w:tc>
        <w:tc>
          <w:tcPr>
            <w:tcW w:w="747" w:type="dxa"/>
            <w:vAlign w:val="center"/>
          </w:tcPr>
          <w:p w14:paraId="56001068" w14:textId="77777777" w:rsidR="005D6D1E" w:rsidRDefault="005D6D1E" w:rsidP="005D6D1E">
            <w:pPr>
              <w:jc w:val="center"/>
            </w:pPr>
            <w:r>
              <w:t>12/4</w:t>
            </w:r>
          </w:p>
        </w:tc>
        <w:tc>
          <w:tcPr>
            <w:tcW w:w="2689" w:type="dxa"/>
            <w:vAlign w:val="center"/>
          </w:tcPr>
          <w:p w14:paraId="5B823DD2" w14:textId="363B5CD5" w:rsidR="005D6D1E" w:rsidRDefault="005D6D1E" w:rsidP="005D6D1E">
            <w:pPr>
              <w:jc w:val="center"/>
            </w:pPr>
            <w:r>
              <w:t>LRP Presentations</w:t>
            </w:r>
          </w:p>
        </w:tc>
        <w:tc>
          <w:tcPr>
            <w:tcW w:w="2689" w:type="dxa"/>
            <w:vAlign w:val="center"/>
          </w:tcPr>
          <w:p w14:paraId="2E8A8B8A" w14:textId="77777777" w:rsidR="005D6D1E" w:rsidRDefault="005D6D1E" w:rsidP="005D6D1E">
            <w:pPr>
              <w:jc w:val="center"/>
            </w:pPr>
          </w:p>
        </w:tc>
        <w:tc>
          <w:tcPr>
            <w:tcW w:w="2690" w:type="dxa"/>
            <w:vAlign w:val="center"/>
          </w:tcPr>
          <w:p w14:paraId="1417F657" w14:textId="59B3B4FE" w:rsidR="005D6D1E" w:rsidRDefault="00C95330" w:rsidP="005D6D1E">
            <w:pPr>
              <w:jc w:val="center"/>
            </w:pPr>
            <w:r w:rsidRPr="00C95330">
              <w:rPr>
                <w:highlight w:val="cyan"/>
              </w:rPr>
              <w:t>LRP Final Draft Due</w:t>
            </w:r>
          </w:p>
        </w:tc>
      </w:tr>
      <w:tr w:rsidR="005D6D1E" w14:paraId="388FAA30" w14:textId="77777777" w:rsidTr="002D600B">
        <w:trPr>
          <w:trHeight w:val="576"/>
        </w:trPr>
        <w:tc>
          <w:tcPr>
            <w:tcW w:w="535" w:type="dxa"/>
            <w:vMerge/>
            <w:vAlign w:val="center"/>
          </w:tcPr>
          <w:p w14:paraId="498F07A6" w14:textId="77777777" w:rsidR="005D6D1E" w:rsidRDefault="005D6D1E" w:rsidP="005D6D1E">
            <w:pPr>
              <w:jc w:val="center"/>
            </w:pPr>
          </w:p>
        </w:tc>
        <w:tc>
          <w:tcPr>
            <w:tcW w:w="747" w:type="dxa"/>
            <w:vAlign w:val="center"/>
          </w:tcPr>
          <w:p w14:paraId="0F255987" w14:textId="77777777" w:rsidR="005D6D1E" w:rsidRDefault="005D6D1E" w:rsidP="005D6D1E">
            <w:pPr>
              <w:jc w:val="center"/>
            </w:pPr>
            <w:r>
              <w:t>12/6</w:t>
            </w:r>
          </w:p>
        </w:tc>
        <w:tc>
          <w:tcPr>
            <w:tcW w:w="8068" w:type="dxa"/>
            <w:gridSpan w:val="3"/>
            <w:vAlign w:val="center"/>
          </w:tcPr>
          <w:p w14:paraId="26E84AF0" w14:textId="77777777" w:rsidR="005D6D1E" w:rsidRDefault="005D6D1E" w:rsidP="005D6D1E">
            <w:pPr>
              <w:jc w:val="center"/>
            </w:pPr>
            <w:r>
              <w:t>No Class</w:t>
            </w:r>
          </w:p>
        </w:tc>
      </w:tr>
      <w:tr w:rsidR="005D6D1E" w14:paraId="1CECE2BF" w14:textId="77777777" w:rsidTr="002D600B">
        <w:trPr>
          <w:trHeight w:val="576"/>
        </w:trPr>
        <w:tc>
          <w:tcPr>
            <w:tcW w:w="535" w:type="dxa"/>
            <w:vAlign w:val="center"/>
          </w:tcPr>
          <w:p w14:paraId="7A80B479" w14:textId="77777777" w:rsidR="005D6D1E" w:rsidRDefault="005D6D1E" w:rsidP="005D6D1E">
            <w:pPr>
              <w:jc w:val="center"/>
            </w:pPr>
            <w:r>
              <w:t>17</w:t>
            </w:r>
          </w:p>
        </w:tc>
        <w:tc>
          <w:tcPr>
            <w:tcW w:w="747" w:type="dxa"/>
            <w:vAlign w:val="center"/>
          </w:tcPr>
          <w:p w14:paraId="36987946" w14:textId="77777777" w:rsidR="005D6D1E" w:rsidRDefault="005D6D1E" w:rsidP="005D6D1E">
            <w:pPr>
              <w:jc w:val="center"/>
            </w:pPr>
          </w:p>
        </w:tc>
        <w:tc>
          <w:tcPr>
            <w:tcW w:w="8068" w:type="dxa"/>
            <w:gridSpan w:val="3"/>
            <w:vAlign w:val="center"/>
          </w:tcPr>
          <w:p w14:paraId="12713AE3" w14:textId="58BBC32C" w:rsidR="005D6D1E" w:rsidRDefault="005D6D1E" w:rsidP="005D6D1E">
            <w:pPr>
              <w:jc w:val="center"/>
            </w:pPr>
            <w:r>
              <w:t>Final Exam (TBA)</w:t>
            </w:r>
          </w:p>
        </w:tc>
      </w:tr>
    </w:tbl>
    <w:p w14:paraId="1FA16619" w14:textId="77777777" w:rsidR="0049145D" w:rsidRPr="0049145D" w:rsidRDefault="0049145D" w:rsidP="00EA679D">
      <w:pPr>
        <w:spacing w:after="0"/>
        <w:contextualSpacing/>
      </w:pPr>
    </w:p>
    <w:sectPr w:rsidR="0049145D" w:rsidRPr="0049145D">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59BE7" w14:textId="77777777" w:rsidR="00B53F05" w:rsidRDefault="00B53F05" w:rsidP="003A3910">
      <w:pPr>
        <w:spacing w:after="0" w:line="240" w:lineRule="auto"/>
      </w:pPr>
      <w:r>
        <w:separator/>
      </w:r>
    </w:p>
  </w:endnote>
  <w:endnote w:type="continuationSeparator" w:id="0">
    <w:p w14:paraId="74764C75" w14:textId="77777777" w:rsidR="00B53F05" w:rsidRDefault="00B53F05" w:rsidP="003A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767365"/>
      <w:docPartObj>
        <w:docPartGallery w:val="Page Numbers (Bottom of Page)"/>
        <w:docPartUnique/>
      </w:docPartObj>
    </w:sdtPr>
    <w:sdtEndPr>
      <w:rPr>
        <w:noProof/>
      </w:rPr>
    </w:sdtEndPr>
    <w:sdtContent>
      <w:p w14:paraId="339C9F57" w14:textId="14622BC7" w:rsidR="005D6D1E" w:rsidRDefault="005D6D1E">
        <w:pPr>
          <w:pStyle w:val="Footer"/>
          <w:jc w:val="center"/>
        </w:pPr>
        <w:r>
          <w:fldChar w:fldCharType="begin"/>
        </w:r>
        <w:r>
          <w:instrText xml:space="preserve"> PAGE   \* MERGEFORMAT </w:instrText>
        </w:r>
        <w:r>
          <w:fldChar w:fldCharType="separate"/>
        </w:r>
        <w:r w:rsidR="00773A94">
          <w:rPr>
            <w:noProof/>
          </w:rPr>
          <w:t>1</w:t>
        </w:r>
        <w:r>
          <w:rPr>
            <w:noProof/>
          </w:rPr>
          <w:fldChar w:fldCharType="end"/>
        </w:r>
      </w:p>
    </w:sdtContent>
  </w:sdt>
  <w:p w14:paraId="1860AF32" w14:textId="77777777" w:rsidR="005D6D1E" w:rsidRDefault="005D6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9A94E" w14:textId="77777777" w:rsidR="00B53F05" w:rsidRDefault="00B53F05" w:rsidP="003A3910">
      <w:pPr>
        <w:spacing w:after="0" w:line="240" w:lineRule="auto"/>
      </w:pPr>
      <w:r>
        <w:separator/>
      </w:r>
    </w:p>
  </w:footnote>
  <w:footnote w:type="continuationSeparator" w:id="0">
    <w:p w14:paraId="4B338538" w14:textId="77777777" w:rsidR="00B53F05" w:rsidRDefault="00B53F05" w:rsidP="003A3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BE9"/>
    <w:multiLevelType w:val="hybridMultilevel"/>
    <w:tmpl w:val="C5689F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4726C"/>
    <w:multiLevelType w:val="hybridMultilevel"/>
    <w:tmpl w:val="F19ED48C"/>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24A3D"/>
    <w:multiLevelType w:val="hybridMultilevel"/>
    <w:tmpl w:val="873225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AF1186"/>
    <w:multiLevelType w:val="hybridMultilevel"/>
    <w:tmpl w:val="D30A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E0B70"/>
    <w:multiLevelType w:val="hybridMultilevel"/>
    <w:tmpl w:val="0638F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F66A0"/>
    <w:multiLevelType w:val="hybridMultilevel"/>
    <w:tmpl w:val="C5689F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6517C9"/>
    <w:multiLevelType w:val="hybridMultilevel"/>
    <w:tmpl w:val="83C46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1D1F75"/>
    <w:multiLevelType w:val="hybridMultilevel"/>
    <w:tmpl w:val="05E8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42319"/>
    <w:multiLevelType w:val="hybridMultilevel"/>
    <w:tmpl w:val="490E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63518"/>
    <w:multiLevelType w:val="hybridMultilevel"/>
    <w:tmpl w:val="4BAC69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EE11A3"/>
    <w:multiLevelType w:val="hybridMultilevel"/>
    <w:tmpl w:val="B03EC9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19015A"/>
    <w:multiLevelType w:val="hybridMultilevel"/>
    <w:tmpl w:val="1534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13801"/>
    <w:multiLevelType w:val="hybridMultilevel"/>
    <w:tmpl w:val="816EB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5C4570"/>
    <w:multiLevelType w:val="hybridMultilevel"/>
    <w:tmpl w:val="FAC86C0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066A65"/>
    <w:multiLevelType w:val="hybridMultilevel"/>
    <w:tmpl w:val="F0DCD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A4005C"/>
    <w:multiLevelType w:val="hybridMultilevel"/>
    <w:tmpl w:val="D90C3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0208E"/>
    <w:multiLevelType w:val="hybridMultilevel"/>
    <w:tmpl w:val="453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231A35"/>
    <w:multiLevelType w:val="hybridMultilevel"/>
    <w:tmpl w:val="406E4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477E4A"/>
    <w:multiLevelType w:val="hybridMultilevel"/>
    <w:tmpl w:val="823A8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1D7320"/>
    <w:multiLevelType w:val="hybridMultilevel"/>
    <w:tmpl w:val="A87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9"/>
  </w:num>
  <w:num w:numId="4">
    <w:abstractNumId w:val="11"/>
  </w:num>
  <w:num w:numId="5">
    <w:abstractNumId w:val="8"/>
  </w:num>
  <w:num w:numId="6">
    <w:abstractNumId w:val="15"/>
  </w:num>
  <w:num w:numId="7">
    <w:abstractNumId w:val="5"/>
  </w:num>
  <w:num w:numId="8">
    <w:abstractNumId w:val="0"/>
  </w:num>
  <w:num w:numId="9">
    <w:abstractNumId w:val="7"/>
  </w:num>
  <w:num w:numId="10">
    <w:abstractNumId w:val="16"/>
  </w:num>
  <w:num w:numId="11">
    <w:abstractNumId w:val="14"/>
  </w:num>
  <w:num w:numId="12">
    <w:abstractNumId w:val="4"/>
  </w:num>
  <w:num w:numId="13">
    <w:abstractNumId w:val="18"/>
  </w:num>
  <w:num w:numId="14">
    <w:abstractNumId w:val="6"/>
  </w:num>
  <w:num w:numId="15">
    <w:abstractNumId w:val="2"/>
  </w:num>
  <w:num w:numId="16">
    <w:abstractNumId w:val="13"/>
  </w:num>
  <w:num w:numId="17">
    <w:abstractNumId w:val="1"/>
  </w:num>
  <w:num w:numId="18">
    <w:abstractNumId w:val="9"/>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ED"/>
    <w:rsid w:val="00006C80"/>
    <w:rsid w:val="000310AC"/>
    <w:rsid w:val="0005032E"/>
    <w:rsid w:val="000561B5"/>
    <w:rsid w:val="000767AC"/>
    <w:rsid w:val="000C4A4D"/>
    <w:rsid w:val="000D16E1"/>
    <w:rsid w:val="000E3166"/>
    <w:rsid w:val="00111092"/>
    <w:rsid w:val="00127361"/>
    <w:rsid w:val="001606C1"/>
    <w:rsid w:val="00197124"/>
    <w:rsid w:val="001B3428"/>
    <w:rsid w:val="001B7952"/>
    <w:rsid w:val="001D2122"/>
    <w:rsid w:val="001E4A48"/>
    <w:rsid w:val="001E7A48"/>
    <w:rsid w:val="001F23BE"/>
    <w:rsid w:val="0020669C"/>
    <w:rsid w:val="00206A43"/>
    <w:rsid w:val="0023632B"/>
    <w:rsid w:val="00250C2E"/>
    <w:rsid w:val="002D2DAA"/>
    <w:rsid w:val="00305234"/>
    <w:rsid w:val="00334BCE"/>
    <w:rsid w:val="00354ADC"/>
    <w:rsid w:val="00356A64"/>
    <w:rsid w:val="003720A6"/>
    <w:rsid w:val="003A3910"/>
    <w:rsid w:val="003E6DDE"/>
    <w:rsid w:val="003F1330"/>
    <w:rsid w:val="004142DA"/>
    <w:rsid w:val="0042454C"/>
    <w:rsid w:val="00432A3A"/>
    <w:rsid w:val="004545A4"/>
    <w:rsid w:val="00490FFF"/>
    <w:rsid w:val="0049145D"/>
    <w:rsid w:val="004A0856"/>
    <w:rsid w:val="004A5232"/>
    <w:rsid w:val="004E1FA9"/>
    <w:rsid w:val="0054212A"/>
    <w:rsid w:val="0054719F"/>
    <w:rsid w:val="00551893"/>
    <w:rsid w:val="0055289E"/>
    <w:rsid w:val="00560B5A"/>
    <w:rsid w:val="005B471A"/>
    <w:rsid w:val="005D5AB2"/>
    <w:rsid w:val="005D6D1E"/>
    <w:rsid w:val="005F4F9F"/>
    <w:rsid w:val="00603787"/>
    <w:rsid w:val="0061149B"/>
    <w:rsid w:val="00611E05"/>
    <w:rsid w:val="006146DE"/>
    <w:rsid w:val="0067323C"/>
    <w:rsid w:val="006736C4"/>
    <w:rsid w:val="00683883"/>
    <w:rsid w:val="0068537C"/>
    <w:rsid w:val="00695D30"/>
    <w:rsid w:val="006D2C6E"/>
    <w:rsid w:val="006E2990"/>
    <w:rsid w:val="00706134"/>
    <w:rsid w:val="00744557"/>
    <w:rsid w:val="007445D8"/>
    <w:rsid w:val="00750CC0"/>
    <w:rsid w:val="00773A94"/>
    <w:rsid w:val="0078322E"/>
    <w:rsid w:val="007A1EA0"/>
    <w:rsid w:val="007C40FD"/>
    <w:rsid w:val="007D59D8"/>
    <w:rsid w:val="007E4CCA"/>
    <w:rsid w:val="007F3D51"/>
    <w:rsid w:val="0081153D"/>
    <w:rsid w:val="0081704C"/>
    <w:rsid w:val="00830B90"/>
    <w:rsid w:val="008434BE"/>
    <w:rsid w:val="008970F0"/>
    <w:rsid w:val="008A5A20"/>
    <w:rsid w:val="008D10D1"/>
    <w:rsid w:val="008E23D6"/>
    <w:rsid w:val="009307F4"/>
    <w:rsid w:val="00937234"/>
    <w:rsid w:val="00941099"/>
    <w:rsid w:val="00943067"/>
    <w:rsid w:val="00971556"/>
    <w:rsid w:val="009B6CB7"/>
    <w:rsid w:val="009D0783"/>
    <w:rsid w:val="009E0482"/>
    <w:rsid w:val="009E54D3"/>
    <w:rsid w:val="009F7739"/>
    <w:rsid w:val="00A42A5A"/>
    <w:rsid w:val="00A42FB6"/>
    <w:rsid w:val="00AA19F1"/>
    <w:rsid w:val="00AA211A"/>
    <w:rsid w:val="00AC6604"/>
    <w:rsid w:val="00AF3F92"/>
    <w:rsid w:val="00B170E5"/>
    <w:rsid w:val="00B216E2"/>
    <w:rsid w:val="00B25162"/>
    <w:rsid w:val="00B53F05"/>
    <w:rsid w:val="00B62496"/>
    <w:rsid w:val="00B722F5"/>
    <w:rsid w:val="00B80BB9"/>
    <w:rsid w:val="00BB40AC"/>
    <w:rsid w:val="00BB7C15"/>
    <w:rsid w:val="00BF5456"/>
    <w:rsid w:val="00C0022E"/>
    <w:rsid w:val="00C03209"/>
    <w:rsid w:val="00C33418"/>
    <w:rsid w:val="00C65633"/>
    <w:rsid w:val="00C6589D"/>
    <w:rsid w:val="00C95330"/>
    <w:rsid w:val="00CA4AF5"/>
    <w:rsid w:val="00CC07ED"/>
    <w:rsid w:val="00CD4ECC"/>
    <w:rsid w:val="00CE3935"/>
    <w:rsid w:val="00CE5F48"/>
    <w:rsid w:val="00CF2BD1"/>
    <w:rsid w:val="00D11AFC"/>
    <w:rsid w:val="00D166BD"/>
    <w:rsid w:val="00D17767"/>
    <w:rsid w:val="00D25577"/>
    <w:rsid w:val="00D31F72"/>
    <w:rsid w:val="00D50E42"/>
    <w:rsid w:val="00D739A4"/>
    <w:rsid w:val="00D96DE2"/>
    <w:rsid w:val="00DA7520"/>
    <w:rsid w:val="00DC3C48"/>
    <w:rsid w:val="00E17789"/>
    <w:rsid w:val="00E36565"/>
    <w:rsid w:val="00E36594"/>
    <w:rsid w:val="00E53970"/>
    <w:rsid w:val="00E67D0F"/>
    <w:rsid w:val="00E856AE"/>
    <w:rsid w:val="00E978BD"/>
    <w:rsid w:val="00EA65FA"/>
    <w:rsid w:val="00EA679D"/>
    <w:rsid w:val="00F200F3"/>
    <w:rsid w:val="00F265DE"/>
    <w:rsid w:val="00F37EF5"/>
    <w:rsid w:val="00F40645"/>
    <w:rsid w:val="00F53777"/>
    <w:rsid w:val="00F7414B"/>
    <w:rsid w:val="00F83CC5"/>
    <w:rsid w:val="00FD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524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ED"/>
    <w:pPr>
      <w:ind w:left="720"/>
      <w:contextualSpacing/>
    </w:pPr>
  </w:style>
  <w:style w:type="table" w:styleId="TableGrid">
    <w:name w:val="Table Grid"/>
    <w:basedOn w:val="TableNormal"/>
    <w:uiPriority w:val="39"/>
    <w:rsid w:val="00F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022E"/>
    <w:rPr>
      <w:color w:val="0563C1" w:themeColor="hyperlink"/>
      <w:u w:val="single"/>
    </w:rPr>
  </w:style>
  <w:style w:type="paragraph" w:styleId="NormalWeb">
    <w:name w:val="Normal (Web)"/>
    <w:basedOn w:val="Normal"/>
    <w:uiPriority w:val="99"/>
    <w:unhideWhenUsed/>
    <w:rsid w:val="004E1FA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4E1FA9"/>
    <w:rPr>
      <w:b/>
      <w:bCs/>
    </w:rPr>
  </w:style>
  <w:style w:type="paragraph" w:customStyle="1" w:styleId="Default">
    <w:name w:val="Default"/>
    <w:basedOn w:val="Normal"/>
    <w:uiPriority w:val="99"/>
    <w:rsid w:val="004E1FA9"/>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FollowedHyperlink">
    <w:name w:val="FollowedHyperlink"/>
    <w:basedOn w:val="DefaultParagraphFont"/>
    <w:uiPriority w:val="99"/>
    <w:semiHidden/>
    <w:unhideWhenUsed/>
    <w:rsid w:val="004E1FA9"/>
    <w:rPr>
      <w:color w:val="954F72" w:themeColor="followedHyperlink"/>
      <w:u w:val="single"/>
    </w:rPr>
  </w:style>
  <w:style w:type="paragraph" w:styleId="Header">
    <w:name w:val="header"/>
    <w:basedOn w:val="Normal"/>
    <w:link w:val="HeaderChar"/>
    <w:uiPriority w:val="99"/>
    <w:unhideWhenUsed/>
    <w:rsid w:val="003A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10"/>
  </w:style>
  <w:style w:type="paragraph" w:styleId="Footer">
    <w:name w:val="footer"/>
    <w:basedOn w:val="Normal"/>
    <w:link w:val="FooterChar"/>
    <w:uiPriority w:val="99"/>
    <w:unhideWhenUsed/>
    <w:rsid w:val="003A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10"/>
  </w:style>
  <w:style w:type="table" w:styleId="GridTable2">
    <w:name w:val="Grid Table 2"/>
    <w:basedOn w:val="TableNormal"/>
    <w:uiPriority w:val="47"/>
    <w:rsid w:val="00BF54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mailto:resources@uta.edu" TargetMode="External"/><Relationship Id="rId3" Type="http://schemas.openxmlformats.org/officeDocument/2006/relationships/settings" Target="settings.xml"/><Relationship Id="rId21" Type="http://schemas.openxmlformats.org/officeDocument/2006/relationships/hyperlink" Target="http://www.uta.edu/sfs"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uta.edu/disability" TargetMode="External"/><Relationship Id="rId17" Type="http://schemas.openxmlformats.org/officeDocument/2006/relationships/hyperlink" Target="file:///C:\Users\hannabas\AppData\Local\Microsoft\Windows\Temporary%20Internet%20Files\Content.Outlook\697W32M3\jmhood@uta.edu"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library.uta.edu/academic-plaza" TargetMode="External"/><Relationship Id="rId2" Type="http://schemas.openxmlformats.org/officeDocument/2006/relationships/styles" Target="styles.xml"/><Relationship Id="rId16" Type="http://schemas.openxmlformats.org/officeDocument/2006/relationships/hyperlink" Target="http://www.uta.edu/titleIX" TargetMode="External"/><Relationship Id="rId20" Type="http://schemas.openxmlformats.org/officeDocument/2006/relationships/hyperlink" Target="http://www.uta.edu/news/info/campus-carry/" TargetMode="External"/><Relationship Id="rId29" Type="http://schemas.openxmlformats.org/officeDocument/2006/relationships/hyperlink" Target="http://www.uta.edu/universitycollege/current/academic-support/learning-center/tutoring/start-strong.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eb.uta.edu/aao/fao/"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http://www.uta.edu/owl" TargetMode="External"/><Relationship Id="rId5" Type="http://schemas.openxmlformats.org/officeDocument/2006/relationships/footnotes" Target="footnotes.xml"/><Relationship Id="rId15" Type="http://schemas.openxmlformats.org/officeDocument/2006/relationships/hyperlink" Target="http://www.uta.edu/hr/eos/index.php"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universitycollege/current/academic-support/learning-center/tutoring/index.php" TargetMode="External"/><Relationship Id="rId36" Type="http://schemas.openxmlformats.org/officeDocument/2006/relationships/theme" Target="theme/theme1.xml"/><Relationship Id="rId10" Type="http://schemas.openxmlformats.org/officeDocument/2006/relationships/hyperlink" Target="http://catalog.uta.edu/academicregulations/grades/" TargetMode="External"/><Relationship Id="rId19" Type="http://schemas.openxmlformats.org/officeDocument/2006/relationships/hyperlink" Target="http://www.uta.edu/oit/cs/email/mavmail.php" TargetMode="External"/><Relationship Id="rId31" Type="http://schemas.openxmlformats.org/officeDocument/2006/relationships/hyperlink" Target="http://www.uta.edu/utsi" TargetMode="External"/><Relationship Id="rId4" Type="http://schemas.openxmlformats.org/officeDocument/2006/relationships/webSettings" Target="webSettings.xml"/><Relationship Id="rId9" Type="http://schemas.openxmlformats.org/officeDocument/2006/relationships/hyperlink" Target="https://mentis.uta.edu/explore/profile/sean-farrell" TargetMode="External"/><Relationship Id="rId14" Type="http://schemas.openxmlformats.org/officeDocument/2006/relationships/hyperlink" Target="http://www.uta.edu/caps/"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universitycollege/current/academic-support/learning-center/si/index.php" TargetMode="External"/><Relationship Id="rId35" Type="http://schemas.openxmlformats.org/officeDocument/2006/relationships/fontTable" Target="fontTable.xml"/><Relationship Id="rId8" Type="http://schemas.openxmlformats.org/officeDocument/2006/relationships/hyperlink" Target="mailto:sean.farrell2@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3355</Words>
  <Characters>18488</Characters>
  <Application>Microsoft Office Word</Application>
  <DocSecurity>0</DocSecurity>
  <Lines>616</Lines>
  <Paragraphs>269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Sean E</dc:creator>
  <cp:keywords/>
  <dc:description/>
  <cp:lastModifiedBy>Farrell, Sean E</cp:lastModifiedBy>
  <cp:revision>2</cp:revision>
  <cp:lastPrinted>2017-12-22T15:41:00Z</cp:lastPrinted>
  <dcterms:created xsi:type="dcterms:W3CDTF">2018-08-21T17:25:00Z</dcterms:created>
  <dcterms:modified xsi:type="dcterms:W3CDTF">2018-08-21T17:25:00Z</dcterms:modified>
</cp:coreProperties>
</file>